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jc w:val="center"/>
        <w:rPr>
          <w:rFonts w:hint="default" w:ascii="方正小标宋简体" w:hAnsi="方正小标宋简体" w:eastAsia="方正小标宋简体" w:cs="方正小标宋简体"/>
          <w:b w:val="0"/>
          <w:color w:val="000000"/>
          <w:sz w:val="36"/>
          <w:szCs w:val="36"/>
          <w:shd w:val="clear" w:color="auto" w:fill="FFFFFF"/>
        </w:rPr>
      </w:pPr>
      <w:r>
        <w:rPr>
          <w:rFonts w:ascii="方正小标宋简体" w:hAnsi="方正小标宋简体" w:eastAsia="方正小标宋简体" w:cs="方正小标宋简体"/>
          <w:b w:val="0"/>
          <w:color w:val="000000"/>
          <w:sz w:val="36"/>
          <w:szCs w:val="36"/>
          <w:shd w:val="clear" w:color="auto" w:fill="FFFFFF"/>
        </w:rPr>
        <w:t>水利与建筑工程学院202</w:t>
      </w:r>
      <w:r>
        <w:rPr>
          <w:rFonts w:hint="eastAsia" w:ascii="方正小标宋简体" w:hAnsi="方正小标宋简体" w:eastAsia="方正小标宋简体" w:cs="方正小标宋简体"/>
          <w:b w:val="0"/>
          <w:color w:val="000000"/>
          <w:sz w:val="36"/>
          <w:szCs w:val="36"/>
          <w:shd w:val="clear" w:color="auto" w:fill="FFFFFF"/>
          <w:lang w:val="en-US" w:eastAsia="zh-CN"/>
        </w:rPr>
        <w:t>2</w:t>
      </w:r>
      <w:r>
        <w:rPr>
          <w:rFonts w:ascii="方正小标宋简体" w:hAnsi="方正小标宋简体" w:eastAsia="方正小标宋简体" w:cs="方正小标宋简体"/>
          <w:b w:val="0"/>
          <w:color w:val="000000"/>
          <w:sz w:val="36"/>
          <w:szCs w:val="36"/>
          <w:shd w:val="clear" w:color="auto" w:fill="FFFFFF"/>
        </w:rPr>
        <w:t>年专业学位硕士研究生</w:t>
      </w:r>
    </w:p>
    <w:p>
      <w:pPr>
        <w:pStyle w:val="2"/>
        <w:widowControl/>
        <w:shd w:val="clear" w:color="auto" w:fill="FFFFFF"/>
        <w:spacing w:beforeAutospacing="0" w:afterAutospacing="0"/>
        <w:jc w:val="center"/>
        <w:rPr>
          <w:rFonts w:hint="default" w:ascii="方正小标宋简体" w:hAnsi="方正小标宋简体" w:eastAsia="方正小标宋简体" w:cs="方正小标宋简体"/>
          <w:b w:val="0"/>
          <w:color w:val="000000"/>
          <w:sz w:val="36"/>
          <w:szCs w:val="36"/>
        </w:rPr>
      </w:pPr>
      <w:r>
        <w:rPr>
          <w:rFonts w:ascii="方正小标宋简体" w:hAnsi="方正小标宋简体" w:eastAsia="方正小标宋简体" w:cs="方正小标宋简体"/>
          <w:b w:val="0"/>
          <w:color w:val="000000"/>
          <w:sz w:val="36"/>
          <w:szCs w:val="36"/>
          <w:shd w:val="clear" w:color="auto" w:fill="FFFFFF"/>
        </w:rPr>
        <w:t>“国际农业工程人才”专项招生统一公告</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为了进一步适应国家经济建设和社会发展对人才的迫切需要，培养和造就具有强烈社会责任感、奉献精神、创新创业能力，同时兼具国际化视野，综合素质高、实践能力强，有志在一带一路沿线国家、跨国企业及科研单位工作</w:t>
      </w:r>
      <w:r>
        <w:rPr>
          <w:rFonts w:hint="eastAsia" w:ascii="仿宋_GB2312" w:hAnsi="Times New Roman" w:eastAsia="仿宋_GB2312"/>
          <w:kern w:val="2"/>
          <w:sz w:val="32"/>
          <w:szCs w:val="32"/>
          <w:lang w:val="en-US" w:eastAsia="zh-CN"/>
        </w:rPr>
        <w:t>的高层次应用型人才</w:t>
      </w:r>
      <w:r>
        <w:rPr>
          <w:rFonts w:hint="eastAsia" w:ascii="仿宋_GB2312" w:hAnsi="Times New Roman" w:eastAsia="仿宋_GB2312"/>
          <w:kern w:val="2"/>
          <w:sz w:val="32"/>
          <w:szCs w:val="32"/>
        </w:rPr>
        <w:t>，202</w:t>
      </w:r>
      <w:r>
        <w:rPr>
          <w:rFonts w:hint="eastAsia" w:ascii="仿宋_GB2312" w:hAnsi="Times New Roman" w:eastAsia="仿宋_GB2312"/>
          <w:kern w:val="2"/>
          <w:sz w:val="32"/>
          <w:szCs w:val="32"/>
          <w:lang w:val="en-US" w:eastAsia="zh-CN"/>
        </w:rPr>
        <w:t>2</w:t>
      </w:r>
      <w:r>
        <w:rPr>
          <w:rFonts w:hint="eastAsia" w:ascii="仿宋_GB2312" w:hAnsi="Times New Roman" w:eastAsia="仿宋_GB2312"/>
          <w:kern w:val="2"/>
          <w:sz w:val="32"/>
          <w:szCs w:val="32"/>
        </w:rPr>
        <w:t>年在土木水利</w:t>
      </w:r>
      <w:r>
        <w:rPr>
          <w:rFonts w:hint="eastAsia" w:ascii="仿宋_GB2312" w:hAnsi="Times New Roman" w:eastAsia="仿宋_GB2312"/>
          <w:kern w:val="2"/>
          <w:sz w:val="32"/>
          <w:szCs w:val="32"/>
          <w:lang w:val="en-US" w:eastAsia="zh-CN"/>
        </w:rPr>
        <w:t>类别</w:t>
      </w:r>
      <w:r>
        <w:rPr>
          <w:rFonts w:hint="eastAsia" w:ascii="仿宋_GB2312" w:hAnsi="Times New Roman" w:eastAsia="仿宋_GB2312"/>
          <w:kern w:val="2"/>
          <w:sz w:val="32"/>
          <w:szCs w:val="32"/>
        </w:rPr>
        <w:t>专业学位研究生中设置“国际农业工程人才”专项。</w:t>
      </w:r>
    </w:p>
    <w:p>
      <w:pPr>
        <w:widowControl/>
        <w:spacing w:line="360" w:lineRule="auto"/>
        <w:ind w:firstLine="640" w:firstLineChars="20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一、专项简介</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基于一带一路沿线的中亚国家节水农业发展现状，通过研制多能源驱动移动式喷灌装置及配套产品、低压滴灌技术、涌泉根灌和陶瓷根灌及关键产品、智能型水肥一体化控制系统，形成适合中亚国家应用的多能源联合应用、低能耗、水肥一体化、精准化、自动化程度高、且与作物类型和耕作方式相匹配的喷微灌技术与装备。培养理想信念坚定，专业基础扎实，实践能力强，具有海外实践经验，有志在一带一路沿线国家、跨国企业及科研单位工作的专业人才。</w:t>
      </w:r>
    </w:p>
    <w:p>
      <w:pPr>
        <w:widowControl/>
        <w:spacing w:line="360" w:lineRule="auto"/>
        <w:ind w:firstLine="640" w:firstLineChars="20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二、培养特色</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采用“校园学习基础理论知识、企业实践锻炼和海外示范园项目推广”的全链条模式进行培养，有效提升研究生的实践动手能力和国际视野。同时，依托“中乌节水灌溉联合研究中心”，对人才、资金、技术、设备等资源进行有效组织、集成与整合，实现信息数据共享、信息资源互通，为研究生培养提供沟通桥梁和有效资源。</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三、招生对象及计划</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凡接到我院复试通知的土木水利</w:t>
      </w:r>
      <w:r>
        <w:rPr>
          <w:rFonts w:hint="eastAsia" w:ascii="仿宋_GB2312" w:hAnsi="Times New Roman" w:eastAsia="仿宋_GB2312"/>
          <w:kern w:val="2"/>
          <w:sz w:val="32"/>
          <w:szCs w:val="32"/>
          <w:lang w:val="en-US" w:eastAsia="zh-CN"/>
        </w:rPr>
        <w:t>类别</w:t>
      </w:r>
      <w:r>
        <w:rPr>
          <w:rFonts w:hint="eastAsia" w:ascii="仿宋_GB2312" w:hAnsi="Times New Roman" w:eastAsia="仿宋_GB2312"/>
          <w:kern w:val="2"/>
          <w:sz w:val="32"/>
          <w:szCs w:val="32"/>
        </w:rPr>
        <w:t>专业学位研究生均可。</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四、报名、复试及录取</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（一）志愿填报：按照专项</w:t>
      </w:r>
      <w:r>
        <w:rPr>
          <w:rFonts w:hint="eastAsia" w:ascii="仿宋_GB2312" w:hAnsi="Times New Roman" w:eastAsia="仿宋_GB2312"/>
          <w:kern w:val="2"/>
          <w:sz w:val="32"/>
          <w:szCs w:val="32"/>
          <w:lang w:val="en-US" w:eastAsia="zh-CN"/>
        </w:rPr>
        <w:t>培养方向</w:t>
      </w:r>
      <w:r>
        <w:rPr>
          <w:rFonts w:hint="eastAsia" w:ascii="仿宋_GB2312" w:hAnsi="Times New Roman" w:eastAsia="仿宋_GB2312"/>
          <w:kern w:val="2"/>
          <w:sz w:val="32"/>
          <w:szCs w:val="32"/>
        </w:rPr>
        <w:t>，考生在确定参加复试后，按照意愿进行志愿填报。</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（二）复试：由学院统一组织复试。</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（三）录取原则：按照“</w:t>
      </w:r>
      <w:r>
        <w:rPr>
          <w:rFonts w:hint="eastAsia" w:ascii="仿宋_GB2312" w:hAnsi="Times New Roman" w:eastAsia="仿宋_GB2312"/>
          <w:kern w:val="2"/>
          <w:sz w:val="32"/>
          <w:szCs w:val="32"/>
          <w:lang w:val="en-US" w:eastAsia="zh-CN"/>
        </w:rPr>
        <w:t>自愿报考、统一复试、导师指导、遵循志愿”，</w:t>
      </w:r>
      <w:r>
        <w:rPr>
          <w:rFonts w:hint="eastAsia" w:ascii="仿宋_GB2312" w:hAnsi="Times New Roman" w:eastAsia="仿宋_GB2312"/>
          <w:kern w:val="2"/>
          <w:sz w:val="32"/>
          <w:szCs w:val="32"/>
        </w:rPr>
        <w:t>即在录取时</w:t>
      </w:r>
      <w:r>
        <w:rPr>
          <w:rFonts w:hint="eastAsia" w:ascii="仿宋_GB2312" w:hAnsi="Times New Roman" w:eastAsia="仿宋_GB2312"/>
          <w:kern w:val="2"/>
          <w:sz w:val="32"/>
          <w:szCs w:val="32"/>
          <w:lang w:val="en-US" w:eastAsia="zh-CN"/>
        </w:rPr>
        <w:t>依据考生的总成绩排名，从高分到低分依次录取</w:t>
      </w:r>
      <w:r>
        <w:rPr>
          <w:rFonts w:hint="eastAsia" w:ascii="仿宋_GB2312" w:hAnsi="Times New Roman" w:eastAsia="仿宋_GB2312"/>
          <w:kern w:val="2"/>
          <w:sz w:val="32"/>
          <w:szCs w:val="32"/>
        </w:rPr>
        <w:t>。如果有考生分数排名靠前，且第一志愿录取指标完成，则考虑考生第二志愿，依次类推。如果有考生没有录取到自己满意的志愿，且不愿服从</w:t>
      </w:r>
      <w:r>
        <w:rPr>
          <w:rFonts w:hint="eastAsia" w:ascii="仿宋_GB2312" w:hAnsi="Times New Roman" w:eastAsia="仿宋_GB2312"/>
          <w:kern w:val="2"/>
          <w:sz w:val="32"/>
          <w:szCs w:val="32"/>
          <w:lang w:val="en-US" w:eastAsia="zh-CN"/>
        </w:rPr>
        <w:t>导师指导和</w:t>
      </w:r>
      <w:r>
        <w:rPr>
          <w:rFonts w:hint="eastAsia" w:ascii="仿宋_GB2312" w:hAnsi="Times New Roman" w:eastAsia="仿宋_GB2312"/>
          <w:kern w:val="2"/>
          <w:sz w:val="32"/>
          <w:szCs w:val="32"/>
        </w:rPr>
        <w:t>调剂，则从后递补，完成招生指标。</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（四）如果考生总成绩相同，则以初试成绩从高分到低分排序；如果初试成绩也相同，则以数学成绩从高分到低分排序。</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五、学习方式、年限及实践环节时间要求</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（一）学习方式采用全日制，学习基本年限为3年。</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（二）本专项研究生修读学分不少于本领域专业学位硕士研究生培养方案要求的最低应修学分。</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（三）实践环节时间要求不少于12个月。</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六、学费及资助</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（一）专项录取的专业学位硕士研究生学费和奖助标准与非专项的专业学位硕士研究生相同，均参照《西北农林科技大学研究生教育收费及奖助体系实施方案》（校研发[2014]271号）执行。</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w:t>
      </w:r>
      <w:r>
        <w:rPr>
          <w:rFonts w:hint="eastAsia" w:ascii="仿宋_GB2312" w:hAnsi="Times New Roman" w:eastAsia="仿宋_GB2312"/>
          <w:kern w:val="2"/>
          <w:sz w:val="32"/>
          <w:szCs w:val="32"/>
          <w:lang w:val="en-US" w:eastAsia="zh-CN"/>
        </w:rPr>
        <w:t>研究生进入实践环节后，</w:t>
      </w:r>
      <w:r>
        <w:rPr>
          <w:rFonts w:hint="eastAsia" w:ascii="仿宋_GB2312" w:hAnsi="Times New Roman" w:eastAsia="仿宋_GB2312"/>
          <w:kern w:val="2"/>
          <w:sz w:val="32"/>
          <w:szCs w:val="32"/>
        </w:rPr>
        <w:t>给予一定数额的科研补助或补贴。</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七、教育管理</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（一）专项招收的专业学位硕士研究生的日常教育管理由学院统一管理</w:t>
      </w:r>
      <w:r>
        <w:rPr>
          <w:rFonts w:hint="eastAsia" w:ascii="仿宋_GB2312" w:hAnsi="Times New Roman" w:eastAsia="仿宋_GB2312"/>
          <w:kern w:val="2"/>
          <w:sz w:val="32"/>
          <w:szCs w:val="32"/>
          <w:lang w:eastAsia="zh-CN"/>
        </w:rPr>
        <w:t>，</w:t>
      </w:r>
      <w:r>
        <w:rPr>
          <w:rFonts w:hint="eastAsia" w:ascii="仿宋_GB2312" w:hAnsi="Times New Roman" w:eastAsia="仿宋_GB2312"/>
          <w:kern w:val="2"/>
          <w:sz w:val="32"/>
          <w:szCs w:val="32"/>
        </w:rPr>
        <w:t>研究生导师是第一责任人。</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（二）研究生的实践能力培养和学位论文或报告选题由项目组首席把关。</w:t>
      </w:r>
    </w:p>
    <w:p>
      <w:pPr>
        <w:widowControl/>
        <w:spacing w:line="360" w:lineRule="auto"/>
        <w:ind w:firstLine="640" w:firstLineChars="20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八、就业深造</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获得硕士学位的专项研究生，优先推荐到龙头企业、事业单位、政府等相关单位工作，表现优秀者可优先推荐攻读校内（外）博士学位。</w:t>
      </w:r>
    </w:p>
    <w:p>
      <w:pPr>
        <w:widowControl/>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九、其他</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（一）考生咨询申请、考试、录取过程中的相关信息，请与报考学院的研究生办公室联系（详见招生目录）。</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w:t>
      </w:r>
      <w:r>
        <w:rPr>
          <w:rFonts w:ascii="仿宋_GB2312" w:hAnsi="Times New Roman" w:eastAsia="仿宋_GB2312"/>
          <w:kern w:val="2"/>
          <w:sz w:val="32"/>
          <w:szCs w:val="32"/>
        </w:rPr>
        <w:t>专项情况咨询联系人及联系方式：</w:t>
      </w:r>
    </w:p>
    <w:p>
      <w:pPr>
        <w:pStyle w:val="5"/>
        <w:widowControl/>
        <w:shd w:val="clear" w:color="auto" w:fill="FFFFFF"/>
        <w:spacing w:beforeAutospacing="0" w:afterAutospacing="0" w:line="560" w:lineRule="exact"/>
        <w:ind w:firstLine="640" w:firstLineChars="200"/>
        <w:rPr>
          <w:rFonts w:hint="default" w:ascii="仿宋_GB2312" w:hAnsi="Times New Roman" w:eastAsia="仿宋_GB2312"/>
          <w:kern w:val="2"/>
          <w:sz w:val="32"/>
          <w:szCs w:val="32"/>
          <w:lang w:val="en-US" w:eastAsia="zh-CN"/>
        </w:rPr>
      </w:pPr>
      <w:r>
        <w:rPr>
          <w:rFonts w:ascii="仿宋_GB2312" w:hAnsi="Times New Roman" w:eastAsia="仿宋_GB2312"/>
          <w:kern w:val="2"/>
          <w:sz w:val="32"/>
          <w:szCs w:val="32"/>
        </w:rPr>
        <w:t>葛老师</w:t>
      </w:r>
      <w:r>
        <w:rPr>
          <w:rFonts w:hint="eastAsia" w:ascii="仿宋_GB2312" w:hAnsi="Times New Roman" w:eastAsia="仿宋_GB2312"/>
          <w:kern w:val="2"/>
          <w:sz w:val="32"/>
          <w:szCs w:val="32"/>
        </w:rPr>
        <w:t xml:space="preserve"> </w:t>
      </w:r>
      <w:r>
        <w:rPr>
          <w:rFonts w:ascii="仿宋_GB2312" w:hAnsi="Times New Roman" w:eastAsia="仿宋_GB2312"/>
          <w:kern w:val="2"/>
          <w:sz w:val="32"/>
          <w:szCs w:val="32"/>
        </w:rPr>
        <w:t xml:space="preserve"> </w:t>
      </w:r>
      <w:r>
        <w:rPr>
          <w:rFonts w:hint="eastAsia" w:ascii="仿宋_GB2312" w:hAnsi="Times New Roman" w:eastAsia="仿宋_GB2312"/>
          <w:kern w:val="2"/>
          <w:sz w:val="32"/>
          <w:szCs w:val="32"/>
          <w:lang w:val="en-US" w:eastAsia="zh-CN"/>
        </w:rPr>
        <w:t>13720417255</w:t>
      </w:r>
    </w:p>
    <w:p>
      <w:pPr>
        <w:widowControl/>
        <w:spacing w:line="360" w:lineRule="auto"/>
        <w:ind w:firstLine="5120" w:firstLineChars="1600"/>
        <w:rPr>
          <w:rFonts w:hint="eastAsia" w:ascii="仿宋_GB2312" w:hAnsi="Times New Roman" w:eastAsia="仿宋_GB2312" w:cs="Times New Roman"/>
          <w:sz w:val="32"/>
          <w:szCs w:val="32"/>
          <w:lang w:val="en-US" w:eastAsia="zh-CN"/>
        </w:rPr>
      </w:pPr>
    </w:p>
    <w:p>
      <w:pPr>
        <w:widowControl/>
        <w:spacing w:line="360" w:lineRule="auto"/>
        <w:ind w:firstLine="5120" w:firstLineChars="16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水利与建筑工程学院</w:t>
      </w:r>
    </w:p>
    <w:p>
      <w:pPr>
        <w:widowControl/>
        <w:spacing w:line="360" w:lineRule="auto"/>
        <w:ind w:firstLine="5440" w:firstLineChars="1700"/>
        <w:rPr>
          <w:rFonts w:cs="Times New Roman" w:asciiTheme="minorEastAsia" w:hAnsiTheme="minorEastAsia"/>
          <w:sz w:val="24"/>
        </w:rPr>
      </w:pP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年</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26</w:t>
      </w:r>
      <w:r>
        <w:rPr>
          <w:rFonts w:hint="eastAsia" w:ascii="仿宋_GB2312" w:hAnsi="Times New Roman" w:eastAsia="仿宋_GB2312" w:cs="Times New Roman"/>
          <w:sz w:val="32"/>
          <w:szCs w:val="32"/>
        </w:rPr>
        <w:t>日</w:t>
      </w:r>
    </w:p>
    <w:p>
      <w:pPr>
        <w:pStyle w:val="5"/>
        <w:widowControl/>
        <w:shd w:val="clear" w:color="auto" w:fill="FFFFFF"/>
        <w:spacing w:beforeAutospacing="0" w:afterAutospacing="0" w:line="560" w:lineRule="exact"/>
        <w:ind w:firstLine="643" w:firstLineChars="200"/>
        <w:rPr>
          <w:rFonts w:hint="eastAsia" w:ascii="仿宋_GB2312" w:hAnsi="Times New Roman" w:eastAsia="仿宋_GB2312"/>
          <w:b/>
          <w:bCs/>
          <w:i w:val="0"/>
          <w:iCs w:val="0"/>
          <w:kern w:val="2"/>
          <w:sz w:val="32"/>
          <w:szCs w:val="32"/>
        </w:rPr>
      </w:pPr>
    </w:p>
    <w:p>
      <w:pPr>
        <w:pStyle w:val="5"/>
        <w:widowControl/>
        <w:shd w:val="clear" w:color="auto" w:fill="FFFFFF"/>
        <w:spacing w:beforeAutospacing="0" w:afterAutospacing="0" w:line="560" w:lineRule="exact"/>
        <w:ind w:firstLine="643" w:firstLineChars="200"/>
        <w:rPr>
          <w:rFonts w:ascii="仿宋_GB2312" w:hAnsi="Times New Roman" w:eastAsia="仿宋_GB2312"/>
          <w:b/>
          <w:bCs/>
          <w:i w:val="0"/>
          <w:iCs w:val="0"/>
          <w:kern w:val="2"/>
          <w:sz w:val="32"/>
          <w:szCs w:val="32"/>
        </w:rPr>
      </w:pPr>
      <w:r>
        <w:rPr>
          <w:rFonts w:hint="eastAsia" w:ascii="仿宋_GB2312" w:hAnsi="Times New Roman" w:eastAsia="仿宋_GB2312"/>
          <w:b/>
          <w:bCs/>
          <w:i w:val="0"/>
          <w:iCs w:val="0"/>
          <w:kern w:val="2"/>
          <w:sz w:val="32"/>
          <w:szCs w:val="32"/>
        </w:rPr>
        <w:t>附件：</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1．“国际农业工程人才”项目招生目录</w:t>
      </w:r>
    </w:p>
    <w:p>
      <w:pPr>
        <w:pStyle w:val="5"/>
        <w:widowControl/>
        <w:shd w:val="clear" w:color="auto" w:fill="FFFFFF"/>
        <w:spacing w:beforeAutospacing="0" w:afterAutospacing="0" w:line="560" w:lineRule="exact"/>
        <w:ind w:firstLine="640" w:firstLineChars="200"/>
        <w:rPr>
          <w:rFonts w:hint="eastAsia" w:ascii="仿宋_GB2312" w:hAnsi="Times New Roman" w:eastAsia="仿宋_GB2312"/>
          <w:kern w:val="2"/>
          <w:sz w:val="32"/>
          <w:szCs w:val="32"/>
        </w:rPr>
      </w:pPr>
      <w:r>
        <w:rPr>
          <w:rFonts w:hint="eastAsia" w:ascii="仿宋_GB2312" w:hAnsi="Times New Roman" w:eastAsia="仿宋_GB2312"/>
          <w:kern w:val="2"/>
          <w:sz w:val="32"/>
          <w:szCs w:val="32"/>
        </w:rPr>
        <w:t>2．“土木水利专业学位硕士专项”志愿填报表</w:t>
      </w:r>
    </w:p>
    <w:p>
      <w:pPr>
        <w:jc w:val="left"/>
        <w:rPr>
          <w:rFonts w:hint="eastAsia" w:ascii="黑体" w:hAnsi="黑体" w:eastAsia="黑体" w:cs="黑体"/>
          <w:sz w:val="28"/>
          <w:szCs w:val="28"/>
        </w:rPr>
      </w:pPr>
    </w:p>
    <w:p>
      <w:pPr>
        <w:jc w:val="left"/>
        <w:rPr>
          <w:rFonts w:hint="eastAsia" w:ascii="黑体" w:hAnsi="黑体" w:eastAsia="黑体" w:cs="黑体"/>
          <w:sz w:val="28"/>
          <w:szCs w:val="28"/>
        </w:rPr>
      </w:pPr>
      <w:r>
        <w:rPr>
          <w:rFonts w:hint="eastAsia" w:ascii="黑体" w:hAnsi="黑体" w:eastAsia="黑体" w:cs="黑体"/>
          <w:sz w:val="28"/>
          <w:szCs w:val="28"/>
        </w:rPr>
        <w:t>附件1：</w:t>
      </w:r>
    </w:p>
    <w:p>
      <w:pPr>
        <w:jc w:val="center"/>
        <w:rPr>
          <w:rFonts w:hint="eastAsia" w:ascii="方正小标宋简体" w:eastAsia="方正小标宋简体"/>
          <w:b/>
          <w:sz w:val="28"/>
          <w:szCs w:val="28"/>
        </w:rPr>
      </w:pPr>
      <w:r>
        <w:rPr>
          <w:rFonts w:hint="eastAsia" w:ascii="方正小标宋简体" w:eastAsia="方正小标宋简体"/>
          <w:b/>
          <w:sz w:val="28"/>
          <w:szCs w:val="28"/>
        </w:rPr>
        <w:t>西北农林科技大学202</w:t>
      </w:r>
      <w:r>
        <w:rPr>
          <w:rFonts w:hint="eastAsia" w:ascii="方正小标宋简体" w:eastAsia="方正小标宋简体"/>
          <w:b/>
          <w:sz w:val="28"/>
          <w:szCs w:val="28"/>
          <w:lang w:val="en-US" w:eastAsia="zh-CN"/>
        </w:rPr>
        <w:t>2</w:t>
      </w:r>
      <w:r>
        <w:rPr>
          <w:rFonts w:hint="eastAsia" w:ascii="方正小标宋简体" w:eastAsia="方正小标宋简体"/>
          <w:b/>
          <w:sz w:val="28"/>
          <w:szCs w:val="28"/>
        </w:rPr>
        <w:t>年专业学位硕士研究生</w:t>
      </w:r>
    </w:p>
    <w:p>
      <w:pPr>
        <w:jc w:val="center"/>
        <w:rPr>
          <w:rFonts w:eastAsia="黑体"/>
          <w:b/>
          <w:sz w:val="36"/>
        </w:rPr>
      </w:pPr>
      <w:r>
        <w:rPr>
          <w:rFonts w:hint="eastAsia" w:ascii="方正小标宋简体" w:eastAsia="方正小标宋简体"/>
          <w:b/>
          <w:sz w:val="28"/>
          <w:szCs w:val="28"/>
        </w:rPr>
        <w:t>“</w:t>
      </w:r>
      <w:r>
        <w:rPr>
          <w:rFonts w:hint="eastAsia" w:ascii="方正小标宋简体" w:eastAsia="方正小标宋简体"/>
          <w:b/>
          <w:sz w:val="28"/>
          <w:szCs w:val="28"/>
          <w:lang w:eastAsia="zh-CN"/>
        </w:rPr>
        <w:t>国际农业工程人才</w:t>
      </w:r>
      <w:r>
        <w:rPr>
          <w:rFonts w:hint="eastAsia" w:ascii="方正小标宋简体" w:eastAsia="方正小标宋简体"/>
          <w:b/>
          <w:sz w:val="28"/>
          <w:szCs w:val="28"/>
        </w:rPr>
        <w:t>”项目招生目录</w:t>
      </w:r>
    </w:p>
    <w:tbl>
      <w:tblPr>
        <w:tblStyle w:val="6"/>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610"/>
        <w:gridCol w:w="1730"/>
        <w:gridCol w:w="3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依托</w:t>
            </w:r>
            <w:r>
              <w:rPr>
                <w:rFonts w:hint="default" w:ascii="Times New Roman" w:hAnsi="Times New Roman" w:eastAsia="楷体" w:cs="Times New Roman"/>
                <w:b w:val="0"/>
                <w:bCs/>
                <w:color w:val="000000"/>
                <w:kern w:val="0"/>
                <w:sz w:val="24"/>
                <w:lang w:val="en-US" w:eastAsia="zh-CN"/>
              </w:rPr>
              <w:t>学</w:t>
            </w:r>
            <w:r>
              <w:rPr>
                <w:rFonts w:hint="default" w:ascii="Times New Roman" w:hAnsi="Times New Roman" w:eastAsia="楷体" w:cs="Times New Roman"/>
                <w:b w:val="0"/>
                <w:bCs/>
                <w:color w:val="000000"/>
                <w:kern w:val="0"/>
                <w:sz w:val="24"/>
              </w:rPr>
              <w:t>院</w:t>
            </w:r>
          </w:p>
        </w:tc>
        <w:tc>
          <w:tcPr>
            <w:tcW w:w="3610" w:type="dxa"/>
            <w:vAlign w:val="center"/>
          </w:tcPr>
          <w:p>
            <w:pPr>
              <w:widowControl/>
              <w:spacing w:beforeLines="30" w:afterLines="30"/>
              <w:jc w:val="center"/>
              <w:rPr>
                <w:rFonts w:hint="default" w:ascii="Times New Roman" w:hAnsi="Times New Roman" w:eastAsia="楷体" w:cs="Times New Roman"/>
                <w:b w:val="0"/>
                <w:bCs/>
                <w:sz w:val="24"/>
                <w:lang w:eastAsia="zh-CN"/>
              </w:rPr>
            </w:pPr>
            <w:r>
              <w:rPr>
                <w:rFonts w:hint="eastAsia" w:ascii="Times New Roman" w:hAnsi="Times New Roman" w:eastAsia="楷体" w:cs="Times New Roman"/>
                <w:b w:val="0"/>
                <w:bCs/>
                <w:sz w:val="24"/>
                <w:lang w:eastAsia="zh-CN"/>
              </w:rPr>
              <w:t>（</w:t>
            </w:r>
            <w:r>
              <w:rPr>
                <w:rFonts w:hint="eastAsia" w:ascii="Times New Roman" w:hAnsi="Times New Roman" w:eastAsia="楷体" w:cs="Times New Roman"/>
                <w:b w:val="0"/>
                <w:bCs/>
                <w:sz w:val="24"/>
                <w:lang w:val="en-US" w:eastAsia="zh-CN"/>
              </w:rPr>
              <w:t>1</w:t>
            </w:r>
            <w:r>
              <w:rPr>
                <w:rFonts w:hint="eastAsia" w:ascii="Times New Roman" w:hAnsi="Times New Roman" w:eastAsia="楷体" w:cs="Times New Roman"/>
                <w:b w:val="0"/>
                <w:bCs/>
                <w:sz w:val="24"/>
                <w:lang w:eastAsia="zh-CN"/>
              </w:rPr>
              <w:t>）</w:t>
            </w:r>
            <w:r>
              <w:rPr>
                <w:rFonts w:hint="default" w:ascii="Times New Roman" w:hAnsi="Times New Roman" w:eastAsia="楷体" w:cs="Times New Roman"/>
                <w:b w:val="0"/>
                <w:bCs/>
                <w:sz w:val="24"/>
                <w:lang w:eastAsia="zh-CN"/>
              </w:rPr>
              <w:t>水利与建筑工程学院</w:t>
            </w:r>
          </w:p>
          <w:p>
            <w:pPr>
              <w:widowControl/>
              <w:spacing w:beforeLines="30" w:afterLines="30"/>
              <w:jc w:val="center"/>
              <w:rPr>
                <w:rFonts w:hint="default" w:ascii="Times New Roman" w:hAnsi="Times New Roman" w:eastAsia="楷体" w:cs="Times New Roman"/>
                <w:b w:val="0"/>
                <w:bCs/>
                <w:sz w:val="24"/>
                <w:lang w:val="en-US" w:eastAsia="zh-CN"/>
              </w:rPr>
            </w:pPr>
            <w:r>
              <w:rPr>
                <w:rFonts w:hint="eastAsia" w:ascii="Times New Roman" w:hAnsi="Times New Roman" w:eastAsia="楷体" w:cs="Times New Roman"/>
                <w:b w:val="0"/>
                <w:bCs/>
                <w:sz w:val="24"/>
                <w:lang w:val="en-US" w:eastAsia="zh-CN"/>
              </w:rPr>
              <w:t>（2）</w:t>
            </w:r>
            <w:r>
              <w:rPr>
                <w:rFonts w:hint="default" w:ascii="Times New Roman" w:hAnsi="Times New Roman" w:eastAsia="楷体" w:cs="Times New Roman"/>
                <w:b w:val="0"/>
                <w:bCs/>
                <w:sz w:val="24"/>
                <w:lang w:val="en-US" w:eastAsia="zh-CN"/>
              </w:rPr>
              <w:t>机械与电子工程学院</w:t>
            </w:r>
          </w:p>
        </w:tc>
        <w:tc>
          <w:tcPr>
            <w:tcW w:w="1730" w:type="dxa"/>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专业学位类别</w:t>
            </w:r>
          </w:p>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（领域）代码</w:t>
            </w:r>
          </w:p>
        </w:tc>
        <w:tc>
          <w:tcPr>
            <w:tcW w:w="3130" w:type="dxa"/>
            <w:shd w:val="clear" w:color="auto" w:fill="auto"/>
            <w:vAlign w:val="center"/>
          </w:tcPr>
          <w:p>
            <w:pPr>
              <w:widowControl/>
              <w:jc w:val="left"/>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（1）</w:t>
            </w:r>
            <w:r>
              <w:rPr>
                <w:rFonts w:hint="default" w:ascii="Times New Roman" w:hAnsi="Times New Roman" w:eastAsia="楷体" w:cs="Times New Roman"/>
                <w:b w:val="0"/>
                <w:bCs/>
                <w:color w:val="000000"/>
                <w:kern w:val="0"/>
                <w:sz w:val="24"/>
                <w:lang w:val="en-US" w:eastAsia="zh-CN"/>
              </w:rPr>
              <w:t>土木水利085900</w:t>
            </w:r>
          </w:p>
          <w:p>
            <w:pPr>
              <w:widowControl/>
              <w:jc w:val="left"/>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（2）</w:t>
            </w:r>
            <w:r>
              <w:rPr>
                <w:rFonts w:hint="default" w:ascii="Times New Roman" w:hAnsi="Times New Roman" w:eastAsia="楷体" w:cs="Times New Roman"/>
                <w:b w:val="0"/>
                <w:bCs/>
                <w:color w:val="000000"/>
                <w:kern w:val="0"/>
                <w:sz w:val="24"/>
                <w:lang w:val="en-US" w:eastAsia="zh-CN"/>
              </w:rPr>
              <w:t>机械085500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line="240" w:lineRule="auto"/>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首席专家</w:t>
            </w:r>
          </w:p>
        </w:tc>
        <w:tc>
          <w:tcPr>
            <w:tcW w:w="3610"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朱德兰</w:t>
            </w:r>
            <w:r>
              <w:rPr>
                <w:rFonts w:hint="default" w:ascii="Times New Roman" w:hAnsi="Times New Roman" w:eastAsia="楷体" w:cs="Times New Roman"/>
                <w:b w:val="0"/>
                <w:bCs/>
                <w:color w:val="000000"/>
                <w:kern w:val="0"/>
                <w:sz w:val="24"/>
                <w:lang w:val="en-US" w:eastAsia="zh-CN"/>
              </w:rPr>
              <w:t xml:space="preserve"> 教授</w:t>
            </w:r>
          </w:p>
        </w:tc>
        <w:tc>
          <w:tcPr>
            <w:tcW w:w="1730"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left="0" w:leftChars="0"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秘书</w:t>
            </w:r>
          </w:p>
        </w:tc>
        <w:tc>
          <w:tcPr>
            <w:tcW w:w="313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葛茂生</w:t>
            </w:r>
            <w:r>
              <w:rPr>
                <w:rFonts w:hint="default" w:ascii="Times New Roman" w:hAnsi="Times New Roman" w:eastAsia="楷体" w:cs="Times New Roman"/>
                <w:b w:val="0"/>
                <w:bCs/>
                <w:color w:val="000000"/>
                <w:kern w:val="0"/>
                <w:sz w:val="24"/>
                <w:lang w:val="en-US" w:eastAsia="zh-CN"/>
              </w:rPr>
              <w:t xml:space="preserve">   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rPr>
              <w:t>拟招人数</w:t>
            </w:r>
          </w:p>
        </w:tc>
        <w:tc>
          <w:tcPr>
            <w:tcW w:w="3610" w:type="dxa"/>
            <w:vAlign w:val="center"/>
          </w:tcPr>
          <w:p>
            <w:pPr>
              <w:widowControl/>
              <w:spacing w:beforeLines="30" w:afterLines="30"/>
              <w:jc w:val="center"/>
              <w:rPr>
                <w:rFonts w:hint="default" w:ascii="Times New Roman" w:hAnsi="Times New Roman" w:eastAsia="楷体" w:cs="Times New Roman"/>
                <w:b w:val="0"/>
                <w:bCs/>
                <w:sz w:val="24"/>
                <w:lang w:val="en-US" w:eastAsia="zh-CN"/>
              </w:rPr>
            </w:pPr>
            <w:r>
              <w:rPr>
                <w:rFonts w:hint="eastAsia" w:ascii="Times New Roman" w:hAnsi="Times New Roman" w:eastAsia="楷体" w:cs="Times New Roman"/>
                <w:b w:val="0"/>
                <w:bCs/>
                <w:sz w:val="24"/>
                <w:lang w:eastAsia="zh-CN"/>
              </w:rPr>
              <w:t>（</w:t>
            </w:r>
            <w:r>
              <w:rPr>
                <w:rFonts w:hint="eastAsia" w:ascii="Times New Roman" w:hAnsi="Times New Roman" w:eastAsia="楷体" w:cs="Times New Roman"/>
                <w:b w:val="0"/>
                <w:bCs/>
                <w:sz w:val="24"/>
                <w:lang w:val="en-US" w:eastAsia="zh-CN"/>
              </w:rPr>
              <w:t>1</w:t>
            </w:r>
            <w:r>
              <w:rPr>
                <w:rFonts w:hint="eastAsia" w:ascii="Times New Roman" w:hAnsi="Times New Roman" w:eastAsia="楷体" w:cs="Times New Roman"/>
                <w:b w:val="0"/>
                <w:bCs/>
                <w:sz w:val="24"/>
                <w:lang w:eastAsia="zh-CN"/>
              </w:rPr>
              <w:t>）</w:t>
            </w:r>
            <w:r>
              <w:rPr>
                <w:rFonts w:hint="default" w:ascii="Times New Roman" w:hAnsi="Times New Roman" w:eastAsia="楷体" w:cs="Times New Roman"/>
                <w:b w:val="0"/>
                <w:bCs/>
                <w:sz w:val="24"/>
                <w:lang w:eastAsia="zh-CN"/>
              </w:rPr>
              <w:t>水利与建筑工程学院</w:t>
            </w:r>
            <w:r>
              <w:rPr>
                <w:rFonts w:hint="eastAsia" w:ascii="Times New Roman" w:hAnsi="Times New Roman" w:eastAsia="楷体" w:cs="Times New Roman"/>
                <w:b w:val="0"/>
                <w:bCs/>
                <w:sz w:val="24"/>
                <w:lang w:val="en-US" w:eastAsia="zh-CN"/>
              </w:rPr>
              <w:t xml:space="preserve"> 9人</w:t>
            </w:r>
          </w:p>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sz w:val="24"/>
                <w:lang w:val="en-US" w:eastAsia="zh-CN"/>
              </w:rPr>
              <w:t>（2）</w:t>
            </w:r>
            <w:r>
              <w:rPr>
                <w:rFonts w:hint="default" w:ascii="Times New Roman" w:hAnsi="Times New Roman" w:eastAsia="楷体" w:cs="Times New Roman"/>
                <w:b w:val="0"/>
                <w:bCs/>
                <w:sz w:val="24"/>
                <w:lang w:val="en-US" w:eastAsia="zh-CN"/>
              </w:rPr>
              <w:t>机械与电子工程学院</w:t>
            </w:r>
            <w:r>
              <w:rPr>
                <w:rFonts w:hint="eastAsia" w:ascii="Times New Roman" w:hAnsi="Times New Roman" w:eastAsia="楷体" w:cs="Times New Roman"/>
                <w:b w:val="0"/>
                <w:bCs/>
                <w:sz w:val="24"/>
                <w:lang w:val="en-US" w:eastAsia="zh-CN"/>
              </w:rPr>
              <w:t xml:space="preserve"> 1人</w:t>
            </w:r>
          </w:p>
        </w:tc>
        <w:tc>
          <w:tcPr>
            <w:tcW w:w="1730" w:type="dxa"/>
            <w:vAlign w:val="center"/>
          </w:tcPr>
          <w:p>
            <w:pPr>
              <w:widowControl/>
              <w:spacing w:beforeLines="30" w:afterLines="30"/>
              <w:jc w:val="center"/>
              <w:rPr>
                <w:rFonts w:hint="eastAsia"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招生咨询</w:t>
            </w:r>
          </w:p>
        </w:tc>
        <w:tc>
          <w:tcPr>
            <w:tcW w:w="3130" w:type="dxa"/>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eastAsia="zh-CN"/>
              </w:rPr>
              <w:t>徐老师</w:t>
            </w:r>
            <w:r>
              <w:rPr>
                <w:rFonts w:hint="default" w:ascii="Times New Roman" w:hAnsi="Times New Roman" w:eastAsia="楷体" w:cs="Times New Roman"/>
                <w:b w:val="0"/>
                <w:bCs/>
                <w:color w:val="000000"/>
                <w:kern w:val="0"/>
                <w:sz w:val="24"/>
              </w:rPr>
              <w:t>029-870</w:t>
            </w:r>
            <w:r>
              <w:rPr>
                <w:rFonts w:hint="default" w:ascii="Times New Roman" w:hAnsi="Times New Roman" w:eastAsia="楷体" w:cs="Times New Roman"/>
                <w:b w:val="0"/>
                <w:bCs/>
                <w:color w:val="000000"/>
                <w:kern w:val="0"/>
                <w:sz w:val="24"/>
                <w:lang w:val="en-US" w:eastAsia="zh-CN"/>
              </w:rPr>
              <w:t>82631</w:t>
            </w:r>
          </w:p>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olor w:val="000000"/>
                <w:kern w:val="0"/>
                <w:sz w:val="24"/>
                <w:lang w:eastAsia="zh-CN"/>
              </w:rPr>
              <w:t>严老师</w:t>
            </w:r>
            <w:r>
              <w:rPr>
                <w:rFonts w:hint="eastAsia" w:ascii="Times New Roman" w:hAnsi="Times New Roman" w:eastAsia="楷体"/>
                <w:color w:val="000000"/>
                <w:kern w:val="0"/>
                <w:sz w:val="24"/>
                <w:lang w:val="en-US" w:eastAsia="zh-CN"/>
              </w:rPr>
              <w:t>029-87091737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培养目标</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251" w:beforeLines="80" w:after="251" w:afterLines="8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p>
          <w:p>
            <w:pPr>
              <w:keepNext w:val="0"/>
              <w:keepLines w:val="0"/>
              <w:pageBreakBefore w:val="0"/>
              <w:widowControl/>
              <w:kinsoku/>
              <w:wordWrap/>
              <w:overflowPunct/>
              <w:topLinePunct w:val="0"/>
              <w:autoSpaceDE/>
              <w:autoSpaceDN/>
              <w:bidi w:val="0"/>
              <w:adjustRightInd/>
              <w:snapToGrid/>
              <w:spacing w:before="251" w:beforeLines="80" w:after="251" w:afterLines="8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基于一带一路沿线的中亚国家节水农业发展现状，通过研制多能源驱动移动式喷灌装置及配套产品、低压滴灌技术、涌泉根灌和陶瓷根灌及关键产品、智能型水肥一体化控制系统，形成适合中亚国家应用的多能源联合应用、低能耗、水肥一体化、精准化、自动化程度高、且与作物类型和耕作方式相匹配的喷微灌技术与装备。培养理想信念坚定，专业基础扎实，实践能力强，具有海外实践经验，有志在一带一路沿线国家、跨国企业及科研单位工作的专业人才。</w:t>
            </w:r>
          </w:p>
          <w:p>
            <w:pPr>
              <w:keepNext w:val="0"/>
              <w:keepLines w:val="0"/>
              <w:pageBreakBefore w:val="0"/>
              <w:widowControl/>
              <w:kinsoku/>
              <w:wordWrap/>
              <w:overflowPunct/>
              <w:topLinePunct w:val="0"/>
              <w:autoSpaceDE/>
              <w:autoSpaceDN/>
              <w:bidi w:val="0"/>
              <w:adjustRightInd/>
              <w:snapToGrid/>
              <w:spacing w:before="251" w:beforeLines="80" w:after="251" w:afterLines="8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2"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val="en-US" w:eastAsia="zh-CN"/>
              </w:rPr>
              <w:t>导师名单</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Lines="30" w:afterLines="30" w:line="480" w:lineRule="auto"/>
              <w:jc w:val="left"/>
              <w:textAlignment w:val="auto"/>
              <w:rPr>
                <w:rFonts w:hint="eastAsia"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水利与建筑工程学院：</w:t>
            </w:r>
          </w:p>
          <w:p>
            <w:pPr>
              <w:keepNext w:val="0"/>
              <w:keepLines w:val="0"/>
              <w:pageBreakBefore w:val="0"/>
              <w:widowControl/>
              <w:kinsoku/>
              <w:wordWrap/>
              <w:overflowPunct/>
              <w:topLinePunct w:val="0"/>
              <w:autoSpaceDE/>
              <w:autoSpaceDN/>
              <w:bidi w:val="0"/>
              <w:adjustRightInd/>
              <w:snapToGrid/>
              <w:spacing w:beforeLines="30" w:afterLines="30" w:line="480" w:lineRule="auto"/>
              <w:jc w:val="center"/>
              <w:textAlignment w:val="auto"/>
              <w:rPr>
                <w:rFonts w:hint="eastAsia" w:ascii="Times New Roman" w:hAnsi="Times New Roman" w:eastAsia="楷体" w:cs="Times New Roman"/>
                <w:b w:val="0"/>
                <w:bCs/>
                <w:sz w:val="24"/>
                <w:lang w:val="en-US" w:eastAsia="zh-CN"/>
              </w:rPr>
            </w:pP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 xml:space="preserve"> 朱德兰、赵西宁、张林、葛茂生、姚一飞、陈俊英、蔡耀辉、许景辉</w:t>
            </w:r>
          </w:p>
          <w:p>
            <w:pPr>
              <w:widowControl/>
              <w:spacing w:beforeLines="30" w:afterLines="30"/>
              <w:jc w:val="center"/>
              <w:rPr>
                <w:rFonts w:hint="default" w:ascii="Times New Roman" w:hAnsi="Times New Roman" w:eastAsia="楷体" w:cs="Times New Roman"/>
                <w:b w:val="0"/>
                <w:bCs/>
                <w:color w:val="000000"/>
                <w:kern w:val="0"/>
                <w:sz w:val="24"/>
                <w:lang w:val="en-US" w:eastAsia="zh-CN"/>
              </w:rPr>
            </w:pPr>
            <w:bookmarkStart w:id="0" w:name="_GoBack"/>
            <w:bookmarkEnd w:id="0"/>
          </w:p>
        </w:tc>
      </w:tr>
    </w:tbl>
    <w:p>
      <w:pPr>
        <w:ind w:firstLine="360" w:firstLineChars="150"/>
        <w:rPr>
          <w:rFonts w:ascii="楷体" w:hAnsi="楷体" w:eastAsia="楷体"/>
          <w:sz w:val="24"/>
        </w:rPr>
      </w:pPr>
      <w:r>
        <w:rPr>
          <w:rFonts w:ascii="楷体" w:hAnsi="楷体" w:eastAsia="楷体"/>
          <w:sz w:val="24"/>
        </w:rPr>
        <w:t>备注：复试科目</w:t>
      </w:r>
      <w:r>
        <w:rPr>
          <w:rFonts w:hint="eastAsia" w:ascii="楷体" w:hAnsi="楷体" w:eastAsia="楷体"/>
          <w:sz w:val="24"/>
        </w:rPr>
        <w:t>参照</w:t>
      </w:r>
      <w:r>
        <w:rPr>
          <w:rFonts w:ascii="楷体" w:hAnsi="楷体" w:eastAsia="楷体"/>
          <w:sz w:val="24"/>
        </w:rPr>
        <w:t>所在学院</w:t>
      </w:r>
      <w:r>
        <w:rPr>
          <w:rFonts w:hint="eastAsia" w:ascii="楷体" w:hAnsi="楷体" w:eastAsia="楷体"/>
          <w:sz w:val="24"/>
        </w:rPr>
        <w:t>的</w:t>
      </w:r>
      <w:r>
        <w:rPr>
          <w:rFonts w:ascii="楷体" w:hAnsi="楷体" w:eastAsia="楷体"/>
          <w:sz w:val="24"/>
        </w:rPr>
        <w:t>报考专业。</w:t>
      </w:r>
    </w:p>
    <w:p>
      <w:pPr>
        <w:spacing w:line="400" w:lineRule="exact"/>
        <w:jc w:val="left"/>
        <w:rPr>
          <w:rFonts w:ascii="黑体" w:hAnsi="黑体" w:eastAsia="黑体" w:cstheme="minorBidi"/>
          <w:sz w:val="28"/>
          <w:szCs w:val="28"/>
        </w:rPr>
      </w:pPr>
    </w:p>
    <w:p>
      <w:pPr>
        <w:spacing w:line="400" w:lineRule="exact"/>
        <w:jc w:val="left"/>
        <w:rPr>
          <w:rFonts w:ascii="黑体" w:hAnsi="黑体" w:eastAsia="黑体" w:cstheme="minorBidi"/>
          <w:sz w:val="28"/>
          <w:szCs w:val="28"/>
        </w:rPr>
      </w:pPr>
      <w:r>
        <w:rPr>
          <w:rFonts w:ascii="黑体" w:hAnsi="黑体" w:eastAsia="黑体" w:cstheme="minorBidi"/>
          <w:sz w:val="28"/>
          <w:szCs w:val="28"/>
        </w:rPr>
        <w:t>附件</w:t>
      </w:r>
      <w:r>
        <w:rPr>
          <w:rFonts w:hint="eastAsia" w:ascii="黑体" w:hAnsi="黑体" w:eastAsia="黑体" w:cstheme="minorBidi"/>
          <w:sz w:val="28"/>
          <w:szCs w:val="28"/>
        </w:rPr>
        <w:t>2</w:t>
      </w:r>
      <w:r>
        <w:rPr>
          <w:rFonts w:ascii="黑体" w:hAnsi="黑体" w:eastAsia="黑体" w:cstheme="minorBidi"/>
          <w:sz w:val="28"/>
          <w:szCs w:val="28"/>
        </w:rPr>
        <w:t>：</w:t>
      </w:r>
    </w:p>
    <w:p>
      <w:pPr>
        <w:spacing w:line="520" w:lineRule="exact"/>
        <w:jc w:val="center"/>
        <w:rPr>
          <w:rFonts w:hint="eastAsia" w:ascii="方正小标宋简体" w:hAnsi="Times New Roman" w:eastAsia="方正小标宋简体" w:cs="Times New Roman"/>
          <w:sz w:val="28"/>
          <w:szCs w:val="28"/>
        </w:rPr>
      </w:pPr>
      <w:r>
        <w:rPr>
          <w:rFonts w:hint="eastAsia" w:ascii="方正小标宋简体" w:hAnsi="Times New Roman" w:eastAsia="方正小标宋简体" w:cs="Times New Roman"/>
          <w:sz w:val="28"/>
          <w:szCs w:val="28"/>
        </w:rPr>
        <w:t>西北农林科技大学202</w:t>
      </w:r>
      <w:r>
        <w:rPr>
          <w:rFonts w:hint="eastAsia" w:ascii="方正小标宋简体" w:eastAsia="方正小标宋简体" w:cs="Times New Roman"/>
          <w:sz w:val="28"/>
          <w:szCs w:val="28"/>
          <w:lang w:val="en-US" w:eastAsia="zh-CN"/>
        </w:rPr>
        <w:t>2</w:t>
      </w:r>
      <w:r>
        <w:rPr>
          <w:rFonts w:hint="eastAsia" w:ascii="方正小标宋简体" w:hAnsi="Times New Roman" w:eastAsia="方正小标宋简体" w:cs="Times New Roman"/>
          <w:sz w:val="28"/>
          <w:szCs w:val="28"/>
        </w:rPr>
        <w:t>年专业学位硕士研究生</w:t>
      </w:r>
    </w:p>
    <w:p>
      <w:pPr>
        <w:spacing w:line="520" w:lineRule="exact"/>
        <w:jc w:val="center"/>
        <w:rPr>
          <w:rFonts w:hint="default" w:ascii="方正小标宋简体" w:hAnsi="Times New Roman" w:eastAsia="方正小标宋简体" w:cs="Times New Roman"/>
          <w:sz w:val="28"/>
          <w:szCs w:val="28"/>
          <w:lang w:val="en-US" w:eastAsia="zh-CN"/>
        </w:rPr>
      </w:pPr>
      <w:r>
        <w:rPr>
          <w:rFonts w:hint="eastAsia" w:ascii="方正小标宋简体" w:eastAsia="方正小标宋简体" w:cs="Times New Roman"/>
          <w:sz w:val="28"/>
          <w:szCs w:val="28"/>
          <w:lang w:val="en-US" w:eastAsia="zh-CN"/>
        </w:rPr>
        <w:t>“土木水利专业学位硕士专项”志愿填报表</w:t>
      </w:r>
    </w:p>
    <w:tbl>
      <w:tblPr>
        <w:tblStyle w:val="7"/>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491"/>
        <w:gridCol w:w="1706"/>
        <w:gridCol w:w="2091"/>
        <w:gridCol w:w="1252"/>
        <w:gridCol w:w="1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姓名</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性别</w:t>
            </w:r>
          </w:p>
        </w:tc>
        <w:tc>
          <w:tcPr>
            <w:tcW w:w="2091" w:type="dxa"/>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ascii="楷体" w:hAnsi="楷体" w:eastAsia="楷体"/>
                <w:kern w:val="0"/>
                <w:sz w:val="24"/>
              </w:rPr>
            </w:pPr>
            <w:r>
              <w:rPr>
                <w:rFonts w:hint="eastAsia" w:ascii="楷体" w:hAnsi="楷体" w:eastAsia="楷体"/>
                <w:kern w:val="0"/>
                <w:sz w:val="24"/>
              </w:rPr>
              <w:t>准考证号</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联系电话</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本科毕业院校</w:t>
            </w:r>
          </w:p>
        </w:tc>
        <w:tc>
          <w:tcPr>
            <w:tcW w:w="2091" w:type="dxa"/>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本科专业</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第一志愿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第二志愿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第三志愿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第四志愿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第五志愿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第六志愿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第七志愿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textAlignment w:val="auto"/>
              <w:rPr>
                <w:rFonts w:hint="eastAsia" w:ascii="楷体" w:hAnsi="楷体" w:eastAsia="楷体" w:cs="楷体"/>
                <w:b/>
                <w:bCs/>
                <w:sz w:val="21"/>
                <w:szCs w:val="21"/>
                <w:lang w:val="en-US" w:eastAsia="zh-CN"/>
              </w:rPr>
            </w:pPr>
            <w:r>
              <w:rPr>
                <w:rFonts w:hint="eastAsia" w:ascii="楷体" w:hAnsi="楷体" w:eastAsia="楷体" w:cs="楷体"/>
                <w:b/>
                <w:bCs/>
                <w:sz w:val="21"/>
                <w:szCs w:val="21"/>
                <w:lang w:val="en-US" w:eastAsia="zh-CN"/>
              </w:rPr>
              <w:t>说明：</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（一）志愿填报：按照专项</w:t>
            </w:r>
            <w:r>
              <w:rPr>
                <w:rFonts w:hint="eastAsia" w:ascii="楷体" w:hAnsi="楷体" w:eastAsia="楷体" w:cs="楷体"/>
                <w:kern w:val="2"/>
                <w:sz w:val="21"/>
                <w:szCs w:val="21"/>
                <w:lang w:val="en-US" w:eastAsia="zh-CN"/>
              </w:rPr>
              <w:t>培养方向</w:t>
            </w:r>
            <w:r>
              <w:rPr>
                <w:rFonts w:hint="eastAsia" w:ascii="楷体" w:hAnsi="楷体" w:eastAsia="楷体" w:cs="楷体"/>
                <w:kern w:val="2"/>
                <w:sz w:val="21"/>
                <w:szCs w:val="21"/>
              </w:rPr>
              <w:t>，考生在确定参加复试后，按照意愿填报志愿。</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（二）复试：由学院统一组织复试。</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（三）录取原则：按照“</w:t>
            </w:r>
            <w:r>
              <w:rPr>
                <w:rFonts w:hint="eastAsia" w:ascii="楷体" w:hAnsi="楷体" w:eastAsia="楷体" w:cs="楷体"/>
                <w:kern w:val="2"/>
                <w:sz w:val="21"/>
                <w:szCs w:val="21"/>
                <w:lang w:val="en-US" w:eastAsia="zh-CN"/>
              </w:rPr>
              <w:t>自愿报考、统一复试、导师指导、遵循志愿”，</w:t>
            </w:r>
            <w:r>
              <w:rPr>
                <w:rFonts w:hint="eastAsia" w:ascii="楷体" w:hAnsi="楷体" w:eastAsia="楷体" w:cs="楷体"/>
                <w:kern w:val="2"/>
                <w:sz w:val="21"/>
                <w:szCs w:val="21"/>
              </w:rPr>
              <w:t>即在录取时</w:t>
            </w:r>
            <w:r>
              <w:rPr>
                <w:rFonts w:hint="eastAsia" w:ascii="楷体" w:hAnsi="楷体" w:eastAsia="楷体" w:cs="楷体"/>
                <w:kern w:val="2"/>
                <w:sz w:val="21"/>
                <w:szCs w:val="21"/>
                <w:lang w:val="en-US" w:eastAsia="zh-CN"/>
              </w:rPr>
              <w:t>依据考生的总成绩排名，从高分到低分依次录取</w:t>
            </w:r>
            <w:r>
              <w:rPr>
                <w:rFonts w:hint="eastAsia" w:ascii="楷体" w:hAnsi="楷体" w:eastAsia="楷体" w:cs="楷体"/>
                <w:kern w:val="2"/>
                <w:sz w:val="21"/>
                <w:szCs w:val="21"/>
              </w:rPr>
              <w:t>。如果有考生分数排名靠前，且第一志愿录取指标完成，则考虑考生第二志愿，依次类推。如果有考生没有</w:t>
            </w:r>
            <w:r>
              <w:rPr>
                <w:rFonts w:hint="eastAsia" w:ascii="楷体" w:hAnsi="楷体" w:eastAsia="楷体" w:cs="楷体"/>
                <w:kern w:val="2"/>
                <w:sz w:val="21"/>
                <w:szCs w:val="21"/>
                <w:lang w:val="en-US" w:eastAsia="zh-CN"/>
              </w:rPr>
              <w:t>被</w:t>
            </w:r>
            <w:r>
              <w:rPr>
                <w:rFonts w:hint="eastAsia" w:ascii="楷体" w:hAnsi="楷体" w:eastAsia="楷体" w:cs="楷体"/>
                <w:kern w:val="2"/>
                <w:sz w:val="21"/>
                <w:szCs w:val="21"/>
              </w:rPr>
              <w:t>录取到自己满意的志愿，且不愿服从</w:t>
            </w:r>
            <w:r>
              <w:rPr>
                <w:rFonts w:hint="eastAsia" w:ascii="楷体" w:hAnsi="楷体" w:eastAsia="楷体" w:cs="楷体"/>
                <w:kern w:val="2"/>
                <w:sz w:val="21"/>
                <w:szCs w:val="21"/>
                <w:lang w:val="en-US" w:eastAsia="zh-CN"/>
              </w:rPr>
              <w:t>导师指导和</w:t>
            </w:r>
            <w:r>
              <w:rPr>
                <w:rFonts w:hint="eastAsia" w:ascii="楷体" w:hAnsi="楷体" w:eastAsia="楷体" w:cs="楷体"/>
                <w:kern w:val="2"/>
                <w:sz w:val="21"/>
                <w:szCs w:val="21"/>
              </w:rPr>
              <w:t>调剂，则从后递补，完成招生指标。</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ascii="楷体" w:hAnsi="楷体" w:eastAsia="楷体"/>
                <w:kern w:val="0"/>
                <w:sz w:val="24"/>
                <w:u w:val="single"/>
              </w:rPr>
            </w:pPr>
            <w:r>
              <w:rPr>
                <w:rFonts w:hint="eastAsia" w:ascii="楷体" w:hAnsi="楷体" w:eastAsia="楷体" w:cs="楷体"/>
                <w:kern w:val="2"/>
                <w:sz w:val="21"/>
                <w:szCs w:val="21"/>
              </w:rPr>
              <w:t>（四）如果考生总成绩相同，则以初试成绩从高分到低分排序；如果初试成绩也相同，则以研究生入学考试数学成绩从高分到低分排序录取。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ascii="楷体" w:hAnsi="楷体" w:eastAsia="楷体"/>
                <w:b/>
                <w:bCs/>
                <w:kern w:val="0"/>
                <w:sz w:val="24"/>
              </w:rPr>
            </w:pPr>
            <w:r>
              <w:rPr>
                <w:rFonts w:ascii="楷体" w:hAnsi="楷体" w:eastAsia="楷体"/>
                <w:b/>
                <w:bCs/>
                <w:kern w:val="0"/>
                <w:sz w:val="24"/>
              </w:rPr>
              <w:t>志愿填报承诺书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楷体" w:hAnsi="楷体" w:eastAsia="楷体"/>
                <w:kern w:val="0"/>
                <w:sz w:val="24"/>
              </w:rPr>
            </w:pPr>
            <w:r>
              <w:rPr>
                <w:rFonts w:ascii="楷体" w:hAnsi="楷体" w:eastAsia="楷体"/>
                <w:kern w:val="0"/>
                <w:sz w:val="24"/>
              </w:rPr>
              <w:t>本人已认真阅读和准确理解西北农林科技大学20</w:t>
            </w:r>
            <w:r>
              <w:rPr>
                <w:rFonts w:hint="eastAsia" w:ascii="楷体" w:hAnsi="楷体" w:eastAsia="楷体"/>
                <w:kern w:val="0"/>
                <w:sz w:val="24"/>
              </w:rPr>
              <w:t>2</w:t>
            </w:r>
            <w:r>
              <w:rPr>
                <w:rFonts w:hint="eastAsia" w:ascii="楷体" w:hAnsi="楷体" w:eastAsia="楷体"/>
                <w:kern w:val="0"/>
                <w:sz w:val="24"/>
                <w:lang w:val="en-US" w:eastAsia="zh-CN"/>
              </w:rPr>
              <w:t>2</w:t>
            </w:r>
            <w:r>
              <w:rPr>
                <w:rFonts w:ascii="楷体" w:hAnsi="楷体" w:eastAsia="楷体"/>
                <w:kern w:val="0"/>
                <w:sz w:val="24"/>
              </w:rPr>
              <w:t>年专业学位硕士研究生“</w:t>
            </w:r>
            <w:r>
              <w:rPr>
                <w:rFonts w:hint="eastAsia" w:ascii="楷体" w:hAnsi="楷体" w:eastAsia="楷体"/>
                <w:kern w:val="0"/>
                <w:sz w:val="24"/>
              </w:rPr>
              <w:t>土木水利</w:t>
            </w:r>
            <w:r>
              <w:rPr>
                <w:rFonts w:ascii="楷体" w:hAnsi="楷体" w:eastAsia="楷体"/>
                <w:kern w:val="0"/>
                <w:sz w:val="24"/>
              </w:rPr>
              <w:t>”</w:t>
            </w:r>
            <w:r>
              <w:rPr>
                <w:rFonts w:hint="eastAsia" w:ascii="楷体" w:hAnsi="楷体" w:eastAsia="楷体"/>
                <w:kern w:val="0"/>
                <w:sz w:val="24"/>
              </w:rPr>
              <w:t>各个专项的招生公告。</w:t>
            </w:r>
            <w:r>
              <w:rPr>
                <w:rFonts w:ascii="楷体" w:hAnsi="楷体" w:eastAsia="楷体"/>
                <w:kern w:val="0"/>
                <w:sz w:val="24"/>
              </w:rPr>
              <w:t>若被录取，我将严格按照本</w:t>
            </w:r>
            <w:r>
              <w:rPr>
                <w:rFonts w:hint="eastAsia" w:ascii="楷体" w:hAnsi="楷体" w:eastAsia="楷体"/>
                <w:kern w:val="0"/>
                <w:sz w:val="24"/>
              </w:rPr>
              <w:t>专项</w:t>
            </w:r>
            <w:r>
              <w:rPr>
                <w:rFonts w:ascii="楷体" w:hAnsi="楷体" w:eastAsia="楷体"/>
                <w:kern w:val="0"/>
                <w:sz w:val="24"/>
              </w:rPr>
              <w:t>要求认真完成学业。</w:t>
            </w:r>
          </w:p>
          <w:p>
            <w:pPr>
              <w:spacing w:line="400" w:lineRule="exact"/>
              <w:ind w:firstLine="3855" w:firstLineChars="1600"/>
              <w:jc w:val="center"/>
              <w:rPr>
                <w:rFonts w:ascii="楷体" w:hAnsi="楷体" w:eastAsia="楷体"/>
                <w:b/>
                <w:bCs/>
                <w:kern w:val="0"/>
                <w:sz w:val="24"/>
                <w:u w:val="single"/>
              </w:rPr>
            </w:pPr>
            <w:r>
              <w:rPr>
                <w:rFonts w:ascii="楷体" w:hAnsi="楷体" w:eastAsia="楷体"/>
                <w:b/>
                <w:bCs/>
                <w:kern w:val="0"/>
                <w:sz w:val="24"/>
              </w:rPr>
              <w:t>承诺人：</w:t>
            </w:r>
          </w:p>
          <w:p>
            <w:pPr>
              <w:spacing w:beforeLines="100" w:line="400" w:lineRule="exact"/>
              <w:ind w:firstLine="5040" w:firstLineChars="2100"/>
              <w:jc w:val="center"/>
              <w:rPr>
                <w:rFonts w:ascii="楷体" w:hAnsi="楷体" w:eastAsia="楷体"/>
                <w:kern w:val="0"/>
                <w:sz w:val="24"/>
              </w:rPr>
            </w:pPr>
            <w:r>
              <w:rPr>
                <w:rFonts w:ascii="楷体" w:hAnsi="楷体" w:eastAsia="楷体"/>
                <w:kern w:val="0"/>
                <w:sz w:val="24"/>
              </w:rPr>
              <w:t>年   月   日</w:t>
            </w:r>
          </w:p>
        </w:tc>
      </w:tr>
    </w:tbl>
    <w:p>
      <w:pPr>
        <w:widowControl/>
        <w:wordWrap w:val="0"/>
        <w:spacing w:line="480" w:lineRule="auto"/>
        <w:jc w:val="left"/>
      </w:pPr>
      <w:r>
        <w:rPr>
          <w:rFonts w:ascii="楷体" w:hAnsi="楷体" w:eastAsia="楷体"/>
          <w:sz w:val="24"/>
        </w:rPr>
        <w:t>备注：如选修过第二外语，则填写语种名称，没有选修过，则填写无。</w:t>
      </w:r>
      <w:r>
        <w:rPr>
          <w:rFonts w:hint="eastAsia" w:ascii="仿宋_GB2312" w:hAnsi="Times New Roman" w:eastAsia="仿宋_GB2312" w:cs="Times New Roman"/>
          <w:sz w:val="32"/>
          <w:szCs w:val="32"/>
        </w:rPr>
        <w:t xml:space="preserve">   </w:t>
      </w:r>
    </w:p>
    <w:p>
      <w:pPr>
        <w:pStyle w:val="5"/>
        <w:widowControl/>
        <w:shd w:val="clear" w:color="auto" w:fill="FFFFFF"/>
        <w:spacing w:beforeAutospacing="0" w:afterAutospacing="0" w:line="560" w:lineRule="exact"/>
        <w:ind w:firstLine="640" w:firstLineChars="200"/>
        <w:rPr>
          <w:rFonts w:hint="eastAsia" w:ascii="仿宋_GB2312" w:hAnsi="Times New Roman" w:eastAsia="仿宋_GB2312"/>
          <w:kern w:val="2"/>
          <w:sz w:val="32"/>
          <w:szCs w:val="32"/>
        </w:rPr>
      </w:pPr>
    </w:p>
    <w:sectPr>
      <w:pgSz w:w="11906" w:h="16838"/>
      <w:pgMar w:top="1440" w:right="1588" w:bottom="113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3A1477"/>
    <w:rsid w:val="00072441"/>
    <w:rsid w:val="00156944"/>
    <w:rsid w:val="00171E24"/>
    <w:rsid w:val="00205921"/>
    <w:rsid w:val="00343EEF"/>
    <w:rsid w:val="00636483"/>
    <w:rsid w:val="03AC5F77"/>
    <w:rsid w:val="05527FE7"/>
    <w:rsid w:val="07350BC2"/>
    <w:rsid w:val="181E6D31"/>
    <w:rsid w:val="18726446"/>
    <w:rsid w:val="26CF0723"/>
    <w:rsid w:val="279F6F72"/>
    <w:rsid w:val="28036DE1"/>
    <w:rsid w:val="28585C22"/>
    <w:rsid w:val="2DEB1E7A"/>
    <w:rsid w:val="311F6787"/>
    <w:rsid w:val="3A2B247B"/>
    <w:rsid w:val="3F6A04CB"/>
    <w:rsid w:val="42D7111C"/>
    <w:rsid w:val="432D7D57"/>
    <w:rsid w:val="46E1627D"/>
    <w:rsid w:val="473A1477"/>
    <w:rsid w:val="4D75689F"/>
    <w:rsid w:val="55202B83"/>
    <w:rsid w:val="578C0BCA"/>
    <w:rsid w:val="61937186"/>
    <w:rsid w:val="668B41F7"/>
    <w:rsid w:val="77185B7F"/>
    <w:rsid w:val="7C292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页眉 字符"/>
    <w:basedOn w:val="8"/>
    <w:link w:val="4"/>
    <w:qFormat/>
    <w:uiPriority w:val="0"/>
    <w:rPr>
      <w:rFonts w:asciiTheme="minorHAnsi" w:hAnsiTheme="minorHAnsi" w:eastAsiaTheme="minorEastAsia" w:cstheme="minorBidi"/>
      <w:kern w:val="2"/>
      <w:sz w:val="18"/>
      <w:szCs w:val="18"/>
    </w:rPr>
  </w:style>
  <w:style w:type="character" w:customStyle="1" w:styleId="11">
    <w:name w:val="页脚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2295</Words>
  <Characters>2365</Characters>
  <Lines>10</Lines>
  <Paragraphs>2</Paragraphs>
  <TotalTime>1</TotalTime>
  <ScaleCrop>false</ScaleCrop>
  <LinksUpToDate>false</LinksUpToDate>
  <CharactersWithSpaces>2386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2020-09-27T08:35:00Z</dcterms:created>
  <dc:creator>.</dc:creator>
  <cp:lastModifiedBy>AAA</cp:lastModifiedBy>
  <dcterms:modified xsi:type="dcterms:W3CDTF">2022-03-29T01:48:49Z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0688FA0E4C734A64A84047121CDB8848</vt:lpwstr>
  </property>
</Properties>
</file>