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F5F8A">
      <w:pPr>
        <w:jc w:val="center"/>
        <w:rPr>
          <w:rFonts w:ascii="方正小标宋简体" w:eastAsia="方正小标宋简体"/>
          <w:bCs/>
          <w:sz w:val="36"/>
          <w:szCs w:val="36"/>
        </w:rPr>
      </w:pPr>
      <w:r>
        <w:rPr>
          <w:rFonts w:hint="eastAsia" w:ascii="方正小标宋简体" w:hAnsi="宋体" w:eastAsia="方正小标宋简体" w:cs="仿宋_GB2312"/>
          <w:bCs/>
          <w:kern w:val="0"/>
          <w:sz w:val="36"/>
          <w:szCs w:val="36"/>
        </w:rPr>
        <w:t>2026年度陕西省科学技术奖拟提名项目公示内容</w:t>
      </w:r>
    </w:p>
    <w:p w14:paraId="3496ADF7">
      <w:pPr>
        <w:jc w:val="center"/>
        <w:rPr>
          <w:rFonts w:ascii="仿宋" w:hAnsi="仿宋" w:eastAsia="仿宋"/>
          <w:b/>
          <w:sz w:val="32"/>
          <w:szCs w:val="32"/>
        </w:rPr>
      </w:pPr>
      <w:r>
        <w:rPr>
          <w:rFonts w:hint="eastAsia" w:ascii="仿宋" w:hAnsi="仿宋" w:eastAsia="仿宋"/>
          <w:b/>
          <w:sz w:val="32"/>
          <w:szCs w:val="32"/>
        </w:rPr>
        <w:t>（科技进步奖）</w:t>
      </w:r>
    </w:p>
    <w:p w14:paraId="4BA2887D">
      <w:pPr>
        <w:pStyle w:val="16"/>
        <w:numPr>
          <w:ilvl w:val="0"/>
          <w:numId w:val="1"/>
        </w:numPr>
        <w:spacing w:line="400" w:lineRule="exact"/>
        <w:ind w:firstLineChars="0"/>
        <w:rPr>
          <w:bCs/>
          <w:sz w:val="24"/>
          <w:szCs w:val="24"/>
        </w:rPr>
      </w:pPr>
      <w:r>
        <w:rPr>
          <w:rFonts w:hint="eastAsia"/>
          <w:bCs/>
          <w:sz w:val="24"/>
          <w:szCs w:val="24"/>
        </w:rPr>
        <w:t>项目名称：</w:t>
      </w:r>
      <w:r>
        <w:rPr>
          <w:rFonts w:hint="eastAsia"/>
          <w:bCs/>
          <w:sz w:val="24"/>
          <w:szCs w:val="24"/>
          <w:lang w:eastAsia="zh-CN"/>
        </w:rPr>
        <w:t>面向新型电力系统的水风光多能互补系统动态规划与机组调节特性</w:t>
      </w:r>
    </w:p>
    <w:p w14:paraId="41656BB9">
      <w:pPr>
        <w:pStyle w:val="16"/>
        <w:widowControl/>
        <w:numPr>
          <w:ilvl w:val="0"/>
          <w:numId w:val="1"/>
        </w:numPr>
        <w:spacing w:line="400" w:lineRule="exact"/>
        <w:ind w:firstLineChars="0"/>
        <w:jc w:val="left"/>
        <w:rPr>
          <w:bCs/>
          <w:sz w:val="24"/>
          <w:szCs w:val="24"/>
        </w:rPr>
      </w:pPr>
      <w:r>
        <w:rPr>
          <w:bCs/>
          <w:sz w:val="24"/>
          <w:szCs w:val="24"/>
        </w:rPr>
        <w:t>提名者</w:t>
      </w:r>
      <w:r>
        <w:rPr>
          <w:rFonts w:hint="eastAsia"/>
          <w:bCs/>
          <w:sz w:val="24"/>
          <w:szCs w:val="24"/>
        </w:rPr>
        <w:t>：</w:t>
      </w:r>
      <w:r>
        <w:rPr>
          <w:rFonts w:hint="eastAsia" w:ascii="宋体" w:hAnsi="宋体" w:eastAsia="宋体" w:cs="宋体"/>
          <w:sz w:val="24"/>
          <w:szCs w:val="24"/>
        </w:rPr>
        <w:t>中国电建集团西北勘测设计研究院有限公司</w:t>
      </w:r>
      <w:r>
        <w:rPr>
          <w:rFonts w:hint="eastAsia"/>
          <w:bCs/>
          <w:sz w:val="24"/>
          <w:szCs w:val="24"/>
        </w:rPr>
        <w:t xml:space="preserve"> </w:t>
      </w:r>
      <w:r>
        <w:rPr>
          <w:bCs/>
          <w:sz w:val="24"/>
          <w:szCs w:val="24"/>
        </w:rPr>
        <w:t xml:space="preserve"> </w:t>
      </w:r>
    </w:p>
    <w:p w14:paraId="7FD2C214">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提名意见：</w:t>
      </w:r>
    </w:p>
    <w:p w14:paraId="5979A833">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随着风电、光伏等新能源大规模接入，西北地区电力系统面临出力波动增强、净负荷快速变化和调节能力不足等问题。传统水风光基地规划主要依据资源条件和装机规模进行配置，难以准确反映不同时间尺度下水电机组承担的调峰、调频、爬坡和快速响应任务；水电机组设计改造与系统调节需求衔接不足，改造形成的灵活性能力也难以在实际调度运行中充分发挥。针对上述问题，项目历经多年研究，围绕水电灵活性需求识别与水风光动态规划、系统需求驱动的水电机组灵活性提升、多时间尺度调控与全生命周期评价开展技术攻关，形成了</w:t>
      </w:r>
      <w:r>
        <w:rPr>
          <w:rFonts w:hint="eastAsia" w:ascii="宋体" w:hAnsi="宋体" w:cs="宋体"/>
          <w:sz w:val="24"/>
          <w:szCs w:val="24"/>
          <w:lang w:eastAsia="zh-CN"/>
        </w:rPr>
        <w:t>面向新型电力系统的水风光多能互补系统动态规划与机组调节特性</w:t>
      </w:r>
      <w:r>
        <w:rPr>
          <w:rFonts w:hint="eastAsia" w:ascii="宋体" w:hAnsi="宋体" w:eastAsia="宋体" w:cs="宋体"/>
          <w:sz w:val="24"/>
          <w:szCs w:val="24"/>
        </w:rPr>
        <w:t>。项目建立了水电灵活性需求识别与水风光动态规划方法，提出了系统调节需求向水电机组运行边界、设计参数和控制参数传递的灵活性提升技术，构建了覆盖秒级、分钟级和小时级的多时间尺度分级分层调控及全生命周期评价方法，实现了从基地规划、机组改造到调度运行和效果评价的技术贯通。项目成果已在黄河上游水电规划调整、黄河中上游水风光储一体化基地规划、金沙江上游清洁能源基地、易贡藏布流域可再生能源基地、白龙江流域水风光储基地以及拉西瓦—李家峡水电机组灵活性提升等工程中得到应用，取得了良好的经济和社会效益。</w:t>
      </w:r>
    </w:p>
    <w:p w14:paraId="06F83ADE">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成果材料齐全、规范，人员排序无争议，符合陕西省科学技术奖提名条件。</w:t>
      </w:r>
    </w:p>
    <w:p w14:paraId="6FCBD352">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特提名参评陕西省科学技术进步奖二等奖。</w:t>
      </w:r>
    </w:p>
    <w:p w14:paraId="3CCFB660">
      <w:pPr>
        <w:pStyle w:val="16"/>
        <w:widowControl/>
        <w:numPr>
          <w:ilvl w:val="0"/>
          <w:numId w:val="1"/>
        </w:numPr>
        <w:spacing w:line="400" w:lineRule="exact"/>
        <w:ind w:firstLineChars="0"/>
        <w:jc w:val="left"/>
        <w:rPr>
          <w:rFonts w:hint="eastAsia"/>
          <w:bCs/>
          <w:sz w:val="24"/>
          <w:szCs w:val="24"/>
        </w:rPr>
      </w:pPr>
      <w:r>
        <w:rPr>
          <w:rFonts w:hint="eastAsia"/>
          <w:bCs/>
          <w:sz w:val="24"/>
          <w:szCs w:val="24"/>
        </w:rPr>
        <w:t>项目简介：</w:t>
      </w:r>
    </w:p>
    <w:p w14:paraId="1D0DD4C5">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为应对高比例新能源并网带来的出力波动和净负荷快速变化，传统水风光基地规划、水电机组改造与调度运行模式面临新的技术要求。本项目以水风光联合开发和水电机组灵活性提升工程为对象，贯通系统规划、机组改造、调度运行和效果评价环节，建立了水电灵活性需求识别与水风光动态规划方法，提出了系统需求驱动的水电机组灵活性提升技术，构建了多时间尺度调控与全生命周期评价方法，形成了</w:t>
      </w:r>
      <w:r>
        <w:rPr>
          <w:rFonts w:hint="eastAsia" w:ascii="宋体" w:hAnsi="宋体" w:cs="宋体"/>
          <w:sz w:val="24"/>
          <w:szCs w:val="24"/>
          <w:lang w:eastAsia="zh-CN"/>
        </w:rPr>
        <w:t>面向新型电力系统的水风光多能互补系统动态规划与机组调节特性</w:t>
      </w:r>
      <w:r>
        <w:rPr>
          <w:rFonts w:hint="eastAsia" w:ascii="宋体" w:hAnsi="宋体" w:eastAsia="宋体" w:cs="宋体"/>
          <w:sz w:val="24"/>
          <w:szCs w:val="24"/>
        </w:rPr>
        <w:t>，为大型清洁能源基地规划建设和水电机组灵活运行提供了系统解决方案。</w:t>
      </w:r>
    </w:p>
    <w:p w14:paraId="327BD3F7">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研究成果已在黄河上游、金沙江上游、西藏易贡藏布、白龙江以及青海拉西瓦—李家峡等重要清洁能源基地和水电工程中得到应用。</w:t>
      </w:r>
    </w:p>
    <w:p w14:paraId="6AC0E184">
      <w:pPr>
        <w:pStyle w:val="16"/>
        <w:widowControl/>
        <w:numPr>
          <w:ilvl w:val="0"/>
          <w:numId w:val="1"/>
        </w:numPr>
        <w:spacing w:line="400" w:lineRule="exact"/>
        <w:ind w:firstLineChars="0"/>
        <w:jc w:val="left"/>
        <w:rPr>
          <w:bCs/>
          <w:color w:val="0D0D0D"/>
          <w:sz w:val="24"/>
          <w:szCs w:val="24"/>
        </w:rPr>
      </w:pPr>
      <w:r>
        <w:rPr>
          <w:rFonts w:hint="eastAsia"/>
          <w:bCs/>
          <w:color w:val="0D0D0D"/>
          <w:sz w:val="24"/>
          <w:szCs w:val="24"/>
        </w:rPr>
        <w:t>客观评价：</w:t>
      </w:r>
    </w:p>
    <w:p w14:paraId="48FB0B9F">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1</w:t>
      </w:r>
      <w:r>
        <w:rPr>
          <w:rFonts w:ascii="宋体" w:hAnsi="宋体" w:eastAsia="宋体" w:cs="宋体"/>
          <w:sz w:val="24"/>
          <w:szCs w:val="24"/>
        </w:rPr>
        <w:t>.</w:t>
      </w:r>
      <w:r>
        <w:rPr>
          <w:rFonts w:hint="eastAsia" w:ascii="宋体" w:hAnsi="宋体" w:eastAsia="宋体" w:cs="宋体"/>
          <w:sz w:val="24"/>
          <w:szCs w:val="24"/>
        </w:rPr>
        <w:t>科技查新报告</w:t>
      </w:r>
    </w:p>
    <w:p w14:paraId="089ACF95">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教育部科技查新工作站（N04）西北农林科技大学图书馆出具对“</w:t>
      </w:r>
      <w:r>
        <w:rPr>
          <w:rFonts w:hint="eastAsia" w:ascii="宋体" w:hAnsi="宋体" w:cs="宋体"/>
          <w:sz w:val="24"/>
          <w:szCs w:val="24"/>
          <w:lang w:eastAsia="zh-CN"/>
        </w:rPr>
        <w:t>面向新型电力系统的水风光多能互补系统动态规划与机组调节特性</w:t>
      </w:r>
      <w:r>
        <w:rPr>
          <w:rFonts w:hint="eastAsia" w:ascii="宋体" w:hAnsi="宋体" w:eastAsia="宋体" w:cs="宋体"/>
          <w:sz w:val="24"/>
          <w:szCs w:val="24"/>
        </w:rPr>
        <w:t>”的科技查新报告，查新结论为“国内外未见文献报道。”</w:t>
      </w:r>
    </w:p>
    <w:p w14:paraId="4E2D7E26">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2</w:t>
      </w:r>
      <w:r>
        <w:rPr>
          <w:rFonts w:ascii="宋体" w:hAnsi="宋体" w:eastAsia="宋体" w:cs="宋体"/>
          <w:sz w:val="24"/>
          <w:szCs w:val="24"/>
        </w:rPr>
        <w:t>.</w:t>
      </w:r>
      <w:r>
        <w:rPr>
          <w:rFonts w:hint="eastAsia" w:ascii="宋体" w:hAnsi="宋体" w:eastAsia="宋体" w:cs="宋体"/>
          <w:sz w:val="24"/>
          <w:szCs w:val="24"/>
        </w:rPr>
        <w:t>项目验收意见</w:t>
      </w:r>
    </w:p>
    <w:p w14:paraId="3D57BE40">
      <w:pPr>
        <w:spacing w:line="400" w:lineRule="exact"/>
        <w:ind w:firstLine="480" w:firstLineChars="200"/>
        <w:rPr>
          <w:rFonts w:ascii="宋体" w:hAnsi="宋体" w:eastAsia="宋体" w:cs="宋体"/>
          <w:sz w:val="24"/>
          <w:szCs w:val="24"/>
        </w:rPr>
      </w:pPr>
      <w:r>
        <w:rPr>
          <w:rFonts w:hint="eastAsia" w:ascii="宋体" w:hAnsi="宋体" w:eastAsia="宋体" w:cs="宋体"/>
          <w:sz w:val="24"/>
          <w:szCs w:val="24"/>
        </w:rPr>
        <w:t>项目从验收意见和应用单位技术评价等方面进行了客观评价。项目研究成果在黄河上游、西藏易贡藏布等多个国家级大型清洁能源基地等一系列标志性工程得到成功应用，有效支撑了流域水风光储电站群协同规划和联合调度工作。研究成果在国家能源战略核心区域得到体系化、规模化应用，覆盖了从顶层规划到重大工程、从国内示范到国际推广的全链条，经济社会效益巨大。</w:t>
      </w:r>
    </w:p>
    <w:p w14:paraId="6975A9FF">
      <w:pPr>
        <w:pStyle w:val="16"/>
        <w:widowControl/>
        <w:numPr>
          <w:ilvl w:val="0"/>
          <w:numId w:val="1"/>
        </w:numPr>
        <w:spacing w:line="400" w:lineRule="exact"/>
        <w:ind w:firstLineChars="0"/>
        <w:jc w:val="left"/>
        <w:rPr>
          <w:bCs/>
          <w:color w:val="0D0D0D"/>
          <w:sz w:val="24"/>
          <w:szCs w:val="24"/>
        </w:rPr>
      </w:pPr>
      <w:r>
        <w:rPr>
          <w:rFonts w:hint="eastAsia"/>
          <w:bCs/>
          <w:color w:val="0D0D0D"/>
          <w:sz w:val="24"/>
          <w:szCs w:val="24"/>
        </w:rPr>
        <w:t>应用情况：</w:t>
      </w:r>
    </w:p>
    <w:p w14:paraId="61691496">
      <w:pPr>
        <w:spacing w:line="400" w:lineRule="exact"/>
        <w:ind w:firstLine="480" w:firstLineChars="200"/>
        <w:rPr>
          <w:rFonts w:hint="eastAsia" w:ascii="宋体" w:hAnsi="宋体" w:eastAsia="宋体" w:cs="宋体"/>
          <w:sz w:val="24"/>
          <w:szCs w:val="24"/>
        </w:rPr>
      </w:pPr>
      <w:r>
        <w:rPr>
          <w:rFonts w:hint="eastAsia" w:ascii="宋体" w:hAnsi="宋体" w:eastAsia="宋体" w:cs="宋体"/>
          <w:sz w:val="24"/>
          <w:szCs w:val="24"/>
        </w:rPr>
        <w:t>项目研究成果已在相关清洁能源基地和水电工程中得到应用，为流域水风光储协同规划和水电机组运行调节提供了技术支撑。项目成果为水风光基地规划、水电机组能力提升和协同运行提供了技术支撑</w:t>
      </w:r>
      <w:r>
        <w:rPr>
          <w:rFonts w:hint="eastAsia" w:ascii="宋体" w:hAnsi="宋体" w:eastAsia="宋体" w:cs="宋体"/>
          <w:sz w:val="24"/>
          <w:szCs w:val="24"/>
        </w:rPr>
        <w:t>。</w:t>
      </w:r>
    </w:p>
    <w:p w14:paraId="619A6655">
      <w:pPr>
        <w:spacing w:line="440" w:lineRule="exact"/>
        <w:jc w:val="center"/>
        <w:rPr>
          <w:rFonts w:ascii="Times New Roman" w:hAnsi="Times New Roman"/>
          <w:b/>
          <w:bCs/>
          <w:sz w:val="24"/>
        </w:rPr>
      </w:pPr>
      <w:r>
        <w:rPr>
          <w:rFonts w:ascii="Times New Roman" w:hAnsi="Times New Roman"/>
          <w:b/>
          <w:bCs/>
          <w:sz w:val="24"/>
        </w:rPr>
        <w:t>主要应用单位情况表</w:t>
      </w:r>
    </w:p>
    <w:tbl>
      <w:tblPr>
        <w:tblStyle w:val="9"/>
        <w:tblW w:w="5000" w:type="pct"/>
        <w:tblInd w:w="11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4"/>
        <w:gridCol w:w="1314"/>
        <w:gridCol w:w="1775"/>
        <w:gridCol w:w="1893"/>
        <w:gridCol w:w="1498"/>
        <w:gridCol w:w="1324"/>
      </w:tblGrid>
      <w:tr w14:paraId="16AD2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14:paraId="7E496FB7">
            <w:pPr>
              <w:spacing w:line="440" w:lineRule="exact"/>
              <w:jc w:val="center"/>
              <w:rPr>
                <w:rFonts w:ascii="Times New Roman" w:hAnsi="Times New Roman"/>
                <w:szCs w:val="21"/>
              </w:rPr>
            </w:pPr>
            <w:r>
              <w:rPr>
                <w:rFonts w:ascii="Times New Roman" w:hAnsi="Times New Roman"/>
                <w:szCs w:val="21"/>
              </w:rPr>
              <w:t>序号</w:t>
            </w:r>
          </w:p>
        </w:tc>
        <w:tc>
          <w:tcPr>
            <w:tcW w:w="770" w:type="pct"/>
            <w:vAlign w:val="center"/>
          </w:tcPr>
          <w:p w14:paraId="50D4ECAF">
            <w:pPr>
              <w:spacing w:line="440" w:lineRule="exact"/>
              <w:jc w:val="center"/>
              <w:rPr>
                <w:rFonts w:ascii="Times New Roman" w:hAnsi="Times New Roman"/>
                <w:szCs w:val="21"/>
              </w:rPr>
            </w:pPr>
            <w:r>
              <w:rPr>
                <w:rFonts w:ascii="Times New Roman" w:hAnsi="Times New Roman"/>
                <w:szCs w:val="21"/>
              </w:rPr>
              <w:t>单位名称</w:t>
            </w:r>
          </w:p>
        </w:tc>
        <w:tc>
          <w:tcPr>
            <w:tcW w:w="1041" w:type="pct"/>
            <w:vAlign w:val="center"/>
          </w:tcPr>
          <w:p w14:paraId="37F8618D">
            <w:pPr>
              <w:spacing w:line="440" w:lineRule="exact"/>
              <w:jc w:val="center"/>
              <w:rPr>
                <w:rFonts w:ascii="Times New Roman" w:hAnsi="Times New Roman"/>
                <w:szCs w:val="21"/>
              </w:rPr>
            </w:pPr>
            <w:r>
              <w:rPr>
                <w:rFonts w:ascii="Times New Roman" w:hAnsi="Times New Roman"/>
                <w:szCs w:val="21"/>
              </w:rPr>
              <w:t>应用的技术</w:t>
            </w:r>
          </w:p>
        </w:tc>
        <w:tc>
          <w:tcPr>
            <w:tcW w:w="1110" w:type="pct"/>
            <w:vAlign w:val="center"/>
          </w:tcPr>
          <w:p w14:paraId="793995CC">
            <w:pPr>
              <w:spacing w:line="440" w:lineRule="exact"/>
              <w:jc w:val="center"/>
              <w:rPr>
                <w:rFonts w:ascii="Times New Roman" w:hAnsi="Times New Roman"/>
                <w:szCs w:val="21"/>
              </w:rPr>
            </w:pPr>
            <w:r>
              <w:rPr>
                <w:rFonts w:ascii="Times New Roman" w:hAnsi="Times New Roman"/>
                <w:szCs w:val="21"/>
              </w:rPr>
              <w:t>应用对象及规模</w:t>
            </w:r>
          </w:p>
        </w:tc>
        <w:tc>
          <w:tcPr>
            <w:tcW w:w="878" w:type="pct"/>
            <w:vAlign w:val="center"/>
          </w:tcPr>
          <w:p w14:paraId="624A88FD">
            <w:pPr>
              <w:spacing w:line="440" w:lineRule="exact"/>
              <w:jc w:val="center"/>
              <w:rPr>
                <w:rFonts w:ascii="Times New Roman" w:hAnsi="Times New Roman"/>
                <w:szCs w:val="21"/>
              </w:rPr>
            </w:pPr>
            <w:r>
              <w:rPr>
                <w:rFonts w:ascii="Times New Roman" w:hAnsi="Times New Roman"/>
                <w:szCs w:val="21"/>
              </w:rPr>
              <w:t>应用起止时间</w:t>
            </w:r>
          </w:p>
        </w:tc>
        <w:tc>
          <w:tcPr>
            <w:tcW w:w="776" w:type="pct"/>
            <w:vAlign w:val="center"/>
          </w:tcPr>
          <w:p w14:paraId="4707E5CB">
            <w:pPr>
              <w:spacing w:line="440" w:lineRule="exact"/>
              <w:jc w:val="center"/>
              <w:rPr>
                <w:rFonts w:ascii="Times New Roman" w:hAnsi="Times New Roman"/>
                <w:szCs w:val="21"/>
              </w:rPr>
            </w:pPr>
            <w:r>
              <w:rPr>
                <w:rFonts w:ascii="Times New Roman" w:hAnsi="Times New Roman"/>
                <w:szCs w:val="21"/>
              </w:rPr>
              <w:t>应用单位联系人/电话</w:t>
            </w:r>
          </w:p>
        </w:tc>
      </w:tr>
      <w:tr w14:paraId="6BC8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 w:type="pct"/>
            <w:vAlign w:val="center"/>
          </w:tcPr>
          <w:p w14:paraId="753C8303">
            <w:pPr>
              <w:spacing w:line="440" w:lineRule="exact"/>
              <w:jc w:val="center"/>
              <w:rPr>
                <w:rFonts w:ascii="Times New Roman" w:hAnsi="Times New Roman"/>
                <w:szCs w:val="21"/>
              </w:rPr>
            </w:pPr>
            <w:r>
              <w:rPr>
                <w:rFonts w:ascii="Times New Roman" w:hAnsi="Times New Roman"/>
                <w:szCs w:val="21"/>
              </w:rPr>
              <w:t>1</w:t>
            </w:r>
          </w:p>
        </w:tc>
        <w:tc>
          <w:tcPr>
            <w:tcW w:w="770" w:type="pct"/>
            <w:vAlign w:val="center"/>
          </w:tcPr>
          <w:p w14:paraId="4DF95CDF">
            <w:pPr>
              <w:spacing w:line="400" w:lineRule="exact"/>
              <w:jc w:val="center"/>
              <w:rPr>
                <w:rFonts w:ascii="Times New Roman" w:hAnsi="Times New Roman"/>
                <w:sz w:val="21"/>
                <w:szCs w:val="21"/>
              </w:rPr>
            </w:pPr>
            <w:r>
              <w:rPr>
                <w:rFonts w:hint="eastAsia" w:ascii="Times New Roman" w:hAnsi="Times New Roman"/>
                <w:sz w:val="21"/>
                <w:szCs w:val="21"/>
              </w:rPr>
              <w:t>国家能源集团青海电力有限公司玛尔挡分公司</w:t>
            </w:r>
          </w:p>
        </w:tc>
        <w:tc>
          <w:tcPr>
            <w:tcW w:w="1041" w:type="pct"/>
            <w:vAlign w:val="center"/>
          </w:tcPr>
          <w:p w14:paraId="0A1C95FF">
            <w:pPr>
              <w:keepNext w:val="0"/>
              <w:keepLines w:val="0"/>
              <w:widowControl/>
              <w:suppressLineNumbers w:val="0"/>
              <w:jc w:val="center"/>
              <w:rPr>
                <w:rFonts w:ascii="Times New Roman" w:hAnsi="Times New Roman"/>
                <w:sz w:val="21"/>
                <w:szCs w:val="21"/>
              </w:rPr>
            </w:pPr>
            <w:r>
              <w:rPr>
                <w:rFonts w:ascii="Times New Roman" w:hAnsi="Times New Roman" w:eastAsia="宋体" w:cs="宋体"/>
                <w:kern w:val="0"/>
                <w:sz w:val="21"/>
                <w:szCs w:val="21"/>
                <w:lang w:val="en-US" w:eastAsia="zh-CN" w:bidi="ar"/>
              </w:rPr>
              <w:t>机组灵活性提升、协同调控</w:t>
            </w:r>
          </w:p>
        </w:tc>
        <w:tc>
          <w:tcPr>
            <w:tcW w:w="1110" w:type="pct"/>
            <w:vAlign w:val="center"/>
          </w:tcPr>
          <w:p w14:paraId="24B28CB5">
            <w:pPr>
              <w:spacing w:line="400" w:lineRule="exact"/>
              <w:jc w:val="center"/>
              <w:rPr>
                <w:rFonts w:ascii="Times New Roman" w:hAnsi="Times New Roman"/>
                <w:sz w:val="21"/>
                <w:szCs w:val="21"/>
              </w:rPr>
            </w:pPr>
            <w:r>
              <w:rPr>
                <w:rFonts w:hint="eastAsia" w:ascii="Times New Roman" w:hAnsi="Times New Roman"/>
                <w:sz w:val="21"/>
                <w:szCs w:val="21"/>
              </w:rPr>
              <w:t>玛尔挡水电站，2</w:t>
            </w:r>
            <w:r>
              <w:rPr>
                <w:rFonts w:ascii="Times New Roman" w:hAnsi="Times New Roman"/>
                <w:sz w:val="21"/>
                <w:szCs w:val="21"/>
              </w:rPr>
              <w:t>32</w:t>
            </w:r>
            <w:r>
              <w:rPr>
                <w:rFonts w:hint="eastAsia" w:ascii="Times New Roman" w:hAnsi="Times New Roman"/>
                <w:sz w:val="21"/>
                <w:szCs w:val="21"/>
              </w:rPr>
              <w:t>万千瓦</w:t>
            </w:r>
          </w:p>
        </w:tc>
        <w:tc>
          <w:tcPr>
            <w:tcW w:w="878" w:type="pct"/>
            <w:vAlign w:val="center"/>
          </w:tcPr>
          <w:p w14:paraId="4D5EFD68">
            <w:pPr>
              <w:spacing w:line="400" w:lineRule="exact"/>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023.07~</w:t>
            </w:r>
            <w:r>
              <w:rPr>
                <w:rFonts w:hint="eastAsia" w:ascii="Times New Roman" w:hAnsi="Times New Roman"/>
                <w:sz w:val="21"/>
                <w:szCs w:val="21"/>
              </w:rPr>
              <w:t>至今</w:t>
            </w:r>
          </w:p>
        </w:tc>
        <w:tc>
          <w:tcPr>
            <w:tcW w:w="776" w:type="pct"/>
            <w:vAlign w:val="center"/>
          </w:tcPr>
          <w:p w14:paraId="0D33C563">
            <w:pPr>
              <w:spacing w:line="400" w:lineRule="exact"/>
              <w:jc w:val="center"/>
              <w:rPr>
                <w:rFonts w:ascii="Times New Roman" w:hAnsi="Times New Roman"/>
                <w:sz w:val="21"/>
                <w:szCs w:val="21"/>
              </w:rPr>
            </w:pPr>
            <w:r>
              <w:rPr>
                <w:rFonts w:hint="eastAsia" w:ascii="Times New Roman" w:hAnsi="Times New Roman"/>
                <w:sz w:val="21"/>
                <w:szCs w:val="21"/>
              </w:rPr>
              <w:t>崇兴云/17797387773</w:t>
            </w:r>
          </w:p>
        </w:tc>
      </w:tr>
      <w:tr w14:paraId="6CEE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7" w:hRule="atLeast"/>
        </w:trPr>
        <w:tc>
          <w:tcPr>
            <w:tcW w:w="424" w:type="pct"/>
            <w:vAlign w:val="center"/>
          </w:tcPr>
          <w:p w14:paraId="31FBC127">
            <w:pPr>
              <w:spacing w:line="440" w:lineRule="exact"/>
              <w:jc w:val="center"/>
              <w:rPr>
                <w:rFonts w:ascii="Times New Roman" w:hAnsi="Times New Roman"/>
                <w:szCs w:val="21"/>
              </w:rPr>
            </w:pPr>
            <w:r>
              <w:rPr>
                <w:rFonts w:ascii="Times New Roman" w:hAnsi="Times New Roman"/>
                <w:szCs w:val="21"/>
              </w:rPr>
              <w:t>2</w:t>
            </w:r>
          </w:p>
        </w:tc>
        <w:tc>
          <w:tcPr>
            <w:tcW w:w="770" w:type="pct"/>
            <w:vAlign w:val="center"/>
          </w:tcPr>
          <w:p w14:paraId="666356F1">
            <w:pPr>
              <w:spacing w:line="400" w:lineRule="exact"/>
              <w:jc w:val="center"/>
              <w:rPr>
                <w:rFonts w:ascii="Times New Roman" w:hAnsi="Times New Roman"/>
                <w:sz w:val="21"/>
                <w:szCs w:val="21"/>
              </w:rPr>
            </w:pPr>
            <w:r>
              <w:rPr>
                <w:rFonts w:hint="eastAsia" w:ascii="Times New Roman" w:hAnsi="Times New Roman"/>
                <w:sz w:val="21"/>
                <w:szCs w:val="21"/>
              </w:rPr>
              <w:t>国家电投集团黄河上游水电开发有限责任公</w:t>
            </w:r>
            <w:bookmarkStart w:id="0" w:name="_GoBack"/>
            <w:bookmarkEnd w:id="0"/>
            <w:r>
              <w:rPr>
                <w:rFonts w:hint="eastAsia" w:ascii="Times New Roman" w:hAnsi="Times New Roman"/>
                <w:sz w:val="21"/>
                <w:szCs w:val="21"/>
              </w:rPr>
              <w:t>司工程建设分公司</w:t>
            </w:r>
          </w:p>
        </w:tc>
        <w:tc>
          <w:tcPr>
            <w:tcW w:w="1041" w:type="pct"/>
            <w:shd w:val="clear" w:color="auto" w:fill="auto"/>
            <w:vAlign w:val="center"/>
          </w:tcPr>
          <w:p w14:paraId="03ACD3E7">
            <w:pPr>
              <w:spacing w:line="400" w:lineRule="exact"/>
              <w:jc w:val="center"/>
              <w:rPr>
                <w:rFonts w:ascii="Times New Roman" w:hAnsi="Times New Roman"/>
                <w:sz w:val="21"/>
                <w:szCs w:val="21"/>
              </w:rPr>
            </w:pPr>
            <w:r>
              <w:rPr>
                <w:rFonts w:ascii="Times New Roman" w:hAnsi="Times New Roman" w:eastAsia="宋体" w:cs="宋体"/>
                <w:kern w:val="0"/>
                <w:sz w:val="21"/>
                <w:szCs w:val="21"/>
                <w:lang w:val="en-US" w:eastAsia="zh-CN" w:bidi="ar"/>
              </w:rPr>
              <w:t>机组灵活性提升</w:t>
            </w:r>
          </w:p>
        </w:tc>
        <w:tc>
          <w:tcPr>
            <w:tcW w:w="1110" w:type="pct"/>
            <w:vAlign w:val="center"/>
          </w:tcPr>
          <w:p w14:paraId="15AF62FF">
            <w:pPr>
              <w:spacing w:line="400" w:lineRule="exact"/>
              <w:jc w:val="center"/>
              <w:rPr>
                <w:rFonts w:ascii="Times New Roman" w:hAnsi="Times New Roman"/>
                <w:sz w:val="21"/>
                <w:szCs w:val="21"/>
              </w:rPr>
            </w:pPr>
            <w:r>
              <w:rPr>
                <w:rFonts w:hint="eastAsia" w:ascii="Times New Roman" w:hAnsi="Times New Roman" w:eastAsia="宋体" w:cs="宋体"/>
                <w:kern w:val="0"/>
                <w:sz w:val="21"/>
                <w:szCs w:val="21"/>
                <w:lang w:val="en-US" w:eastAsia="zh-CN" w:bidi="ar"/>
              </w:rPr>
              <w:t>拉西瓦、李家峡扩机规划与协同运行方案论证</w:t>
            </w:r>
          </w:p>
        </w:tc>
        <w:tc>
          <w:tcPr>
            <w:tcW w:w="878" w:type="pct"/>
            <w:vAlign w:val="center"/>
          </w:tcPr>
          <w:p w14:paraId="1172D26E">
            <w:pPr>
              <w:spacing w:line="400" w:lineRule="exact"/>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022.06~</w:t>
            </w:r>
            <w:r>
              <w:rPr>
                <w:rFonts w:hint="eastAsia" w:ascii="Times New Roman" w:hAnsi="Times New Roman"/>
                <w:sz w:val="21"/>
                <w:szCs w:val="21"/>
              </w:rPr>
              <w:t>至今</w:t>
            </w:r>
          </w:p>
        </w:tc>
        <w:tc>
          <w:tcPr>
            <w:tcW w:w="776" w:type="pct"/>
            <w:vAlign w:val="center"/>
          </w:tcPr>
          <w:p w14:paraId="63290284">
            <w:pPr>
              <w:spacing w:line="400" w:lineRule="exact"/>
              <w:jc w:val="center"/>
              <w:rPr>
                <w:rFonts w:ascii="Times New Roman" w:hAnsi="Times New Roman"/>
                <w:sz w:val="21"/>
                <w:szCs w:val="21"/>
              </w:rPr>
            </w:pPr>
            <w:r>
              <w:rPr>
                <w:rFonts w:hint="eastAsia" w:ascii="Times New Roman" w:hAnsi="Times New Roman"/>
                <w:sz w:val="21"/>
                <w:szCs w:val="21"/>
              </w:rPr>
              <w:t>刘智莹/18697126801</w:t>
            </w:r>
          </w:p>
        </w:tc>
      </w:tr>
      <w:tr w14:paraId="22A48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trPr>
        <w:tc>
          <w:tcPr>
            <w:tcW w:w="424" w:type="pct"/>
            <w:vAlign w:val="center"/>
          </w:tcPr>
          <w:p w14:paraId="70DD9C1C">
            <w:pPr>
              <w:spacing w:line="440" w:lineRule="exact"/>
              <w:jc w:val="center"/>
              <w:rPr>
                <w:rFonts w:ascii="Times New Roman" w:hAnsi="Times New Roman"/>
                <w:szCs w:val="21"/>
              </w:rPr>
            </w:pPr>
            <w:r>
              <w:rPr>
                <w:rFonts w:ascii="Times New Roman" w:hAnsi="Times New Roman"/>
                <w:szCs w:val="21"/>
              </w:rPr>
              <w:t>3</w:t>
            </w:r>
          </w:p>
        </w:tc>
        <w:tc>
          <w:tcPr>
            <w:tcW w:w="770" w:type="pct"/>
            <w:vAlign w:val="center"/>
          </w:tcPr>
          <w:p w14:paraId="0388F8FD">
            <w:pPr>
              <w:spacing w:line="400" w:lineRule="exact"/>
              <w:jc w:val="center"/>
              <w:rPr>
                <w:rFonts w:ascii="Times New Roman" w:hAnsi="Times New Roman"/>
                <w:sz w:val="21"/>
                <w:szCs w:val="21"/>
              </w:rPr>
            </w:pPr>
            <w:r>
              <w:rPr>
                <w:rFonts w:hint="eastAsia" w:ascii="Times New Roman" w:hAnsi="Times New Roman"/>
                <w:sz w:val="21"/>
                <w:szCs w:val="21"/>
              </w:rPr>
              <w:t>国家能源集团西藏电力有限公司</w:t>
            </w:r>
          </w:p>
        </w:tc>
        <w:tc>
          <w:tcPr>
            <w:tcW w:w="1041" w:type="pct"/>
            <w:shd w:val="clear" w:color="auto" w:fill="auto"/>
            <w:vAlign w:val="center"/>
          </w:tcPr>
          <w:p w14:paraId="0646109E">
            <w:pPr>
              <w:spacing w:line="400" w:lineRule="exact"/>
              <w:jc w:val="center"/>
              <w:rPr>
                <w:rFonts w:hint="eastAsia" w:ascii="Times New Roman" w:hAnsi="Times New Roman" w:eastAsia="宋体"/>
                <w:sz w:val="21"/>
                <w:szCs w:val="21"/>
                <w:lang w:val="en-US" w:eastAsia="zh-CN"/>
              </w:rPr>
            </w:pPr>
            <w:r>
              <w:rPr>
                <w:rFonts w:hint="eastAsia" w:ascii="Times New Roman" w:hAnsi="Times New Roman"/>
                <w:sz w:val="21"/>
                <w:szCs w:val="21"/>
              </w:rPr>
              <w:t>容量</w:t>
            </w:r>
            <w:r>
              <w:rPr>
                <w:rFonts w:hint="eastAsia" w:ascii="Times New Roman" w:hAnsi="Times New Roman"/>
                <w:sz w:val="21"/>
                <w:szCs w:val="21"/>
                <w:lang w:val="en-US" w:eastAsia="zh-CN"/>
              </w:rPr>
              <w:t>规划</w:t>
            </w:r>
          </w:p>
        </w:tc>
        <w:tc>
          <w:tcPr>
            <w:tcW w:w="1110" w:type="pct"/>
            <w:vAlign w:val="center"/>
          </w:tcPr>
          <w:p w14:paraId="02D649E9">
            <w:pPr>
              <w:spacing w:line="400" w:lineRule="exact"/>
              <w:jc w:val="center"/>
              <w:rPr>
                <w:rFonts w:ascii="Times New Roman" w:hAnsi="Times New Roman"/>
                <w:sz w:val="21"/>
                <w:szCs w:val="21"/>
              </w:rPr>
            </w:pPr>
            <w:r>
              <w:rPr>
                <w:rFonts w:hint="eastAsia" w:ascii="Times New Roman" w:hAnsi="Times New Roman"/>
                <w:sz w:val="21"/>
                <w:szCs w:val="21"/>
              </w:rPr>
              <w:t>西藏易贡藏布流域水-蓄-风-光一体化基地规划（总装机超24190MW）</w:t>
            </w:r>
          </w:p>
        </w:tc>
        <w:tc>
          <w:tcPr>
            <w:tcW w:w="878" w:type="pct"/>
            <w:vAlign w:val="center"/>
          </w:tcPr>
          <w:p w14:paraId="15B4BC8E">
            <w:pPr>
              <w:spacing w:line="400" w:lineRule="exact"/>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022.01~</w:t>
            </w:r>
            <w:r>
              <w:rPr>
                <w:rFonts w:hint="eastAsia" w:ascii="Times New Roman" w:hAnsi="Times New Roman"/>
                <w:sz w:val="21"/>
                <w:szCs w:val="21"/>
              </w:rPr>
              <w:t>至今</w:t>
            </w:r>
          </w:p>
        </w:tc>
        <w:tc>
          <w:tcPr>
            <w:tcW w:w="776" w:type="pct"/>
            <w:vAlign w:val="center"/>
          </w:tcPr>
          <w:p w14:paraId="03F1C57E">
            <w:pPr>
              <w:spacing w:line="400" w:lineRule="exact"/>
              <w:jc w:val="center"/>
              <w:rPr>
                <w:rFonts w:ascii="Times New Roman" w:hAnsi="Times New Roman"/>
                <w:sz w:val="21"/>
                <w:szCs w:val="21"/>
              </w:rPr>
            </w:pPr>
            <w:r>
              <w:rPr>
                <w:rFonts w:hint="eastAsia" w:ascii="Times New Roman" w:hAnsi="Times New Roman"/>
                <w:sz w:val="21"/>
                <w:szCs w:val="21"/>
              </w:rPr>
              <w:t>唐文龙/18089087267</w:t>
            </w:r>
          </w:p>
        </w:tc>
      </w:tr>
    </w:tbl>
    <w:p w14:paraId="4567887A">
      <w:pPr>
        <w:pStyle w:val="16"/>
        <w:widowControl/>
        <w:numPr>
          <w:ilvl w:val="0"/>
          <w:numId w:val="0"/>
        </w:numPr>
        <w:spacing w:line="400" w:lineRule="exact"/>
        <w:ind w:leftChars="0"/>
        <w:jc w:val="left"/>
        <w:rPr>
          <w:bCs/>
          <w:color w:val="0D0D0D"/>
          <w:sz w:val="24"/>
          <w:szCs w:val="24"/>
        </w:rPr>
      </w:pPr>
    </w:p>
    <w:p w14:paraId="54E1C798">
      <w:pPr>
        <w:pStyle w:val="16"/>
        <w:numPr>
          <w:ilvl w:val="0"/>
          <w:numId w:val="1"/>
        </w:numPr>
        <w:spacing w:line="400" w:lineRule="exact"/>
        <w:ind w:firstLineChars="0"/>
        <w:jc w:val="left"/>
        <w:outlineLvl w:val="1"/>
        <w:rPr>
          <w:bCs/>
          <w:color w:val="0D0D0D"/>
          <w:sz w:val="24"/>
          <w:szCs w:val="24"/>
        </w:rPr>
      </w:pPr>
      <w:r>
        <w:rPr>
          <w:rFonts w:hint="eastAsia"/>
          <w:bCs/>
          <w:color w:val="0D0D0D"/>
          <w:sz w:val="24"/>
          <w:szCs w:val="24"/>
        </w:rPr>
        <w:t>主要知识产权和标准规范等</w:t>
      </w:r>
      <w:r>
        <w:rPr>
          <w:bCs/>
          <w:color w:val="0D0D0D"/>
          <w:sz w:val="24"/>
          <w:szCs w:val="24"/>
        </w:rPr>
        <w:t>目录（</w:t>
      </w:r>
      <w:r>
        <w:rPr>
          <w:rFonts w:hint="eastAsia"/>
          <w:bCs/>
          <w:color w:val="0D0D0D"/>
          <w:sz w:val="24"/>
          <w:szCs w:val="24"/>
        </w:rPr>
        <w:t>限1</w:t>
      </w:r>
      <w:r>
        <w:rPr>
          <w:bCs/>
          <w:color w:val="0D0D0D"/>
          <w:sz w:val="24"/>
          <w:szCs w:val="24"/>
        </w:rPr>
        <w:t>0</w:t>
      </w:r>
      <w:r>
        <w:rPr>
          <w:rFonts w:hint="eastAsia"/>
          <w:bCs/>
          <w:color w:val="0D0D0D"/>
          <w:sz w:val="24"/>
          <w:szCs w:val="24"/>
        </w:rPr>
        <w:t>条</w:t>
      </w:r>
      <w:r>
        <w:rPr>
          <w:bCs/>
          <w:color w:val="0D0D0D"/>
          <w:sz w:val="24"/>
          <w:szCs w:val="24"/>
        </w:rPr>
        <w:t>）</w:t>
      </w:r>
    </w:p>
    <w:tbl>
      <w:tblPr>
        <w:tblStyle w:val="9"/>
        <w:tblW w:w="8946"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544"/>
        <w:gridCol w:w="1145"/>
        <w:gridCol w:w="1310"/>
        <w:gridCol w:w="812"/>
        <w:gridCol w:w="1059"/>
        <w:gridCol w:w="979"/>
        <w:gridCol w:w="1059"/>
        <w:gridCol w:w="1059"/>
        <w:gridCol w:w="979"/>
      </w:tblGrid>
      <w:tr w14:paraId="443B614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0E5ED567">
            <w:pPr>
              <w:pStyle w:val="3"/>
              <w:spacing w:line="240" w:lineRule="auto"/>
              <w:ind w:firstLine="0" w:firstLineChars="0"/>
              <w:jc w:val="center"/>
              <w:rPr>
                <w:rFonts w:ascii="宋体" w:hAnsi="宋体"/>
                <w:sz w:val="21"/>
                <w:szCs w:val="21"/>
              </w:rPr>
            </w:pPr>
            <w:r>
              <w:rPr>
                <w:rFonts w:ascii="宋体" w:hAnsi="宋体"/>
                <w:sz w:val="21"/>
                <w:szCs w:val="21"/>
              </w:rPr>
              <w:t>序号</w:t>
            </w:r>
          </w:p>
        </w:tc>
        <w:tc>
          <w:tcPr>
            <w:tcW w:w="1145" w:type="dxa"/>
            <w:tcBorders>
              <w:top w:val="single" w:color="auto" w:sz="8" w:space="0"/>
              <w:left w:val="single" w:color="auto" w:sz="8" w:space="0"/>
              <w:bottom w:val="single" w:color="auto" w:sz="8" w:space="0"/>
              <w:right w:val="single" w:color="auto" w:sz="8" w:space="0"/>
            </w:tcBorders>
            <w:vAlign w:val="center"/>
          </w:tcPr>
          <w:p w14:paraId="672D7ECC">
            <w:pPr>
              <w:pStyle w:val="3"/>
              <w:spacing w:line="240" w:lineRule="auto"/>
              <w:ind w:firstLine="0" w:firstLineChars="0"/>
              <w:jc w:val="center"/>
              <w:rPr>
                <w:rFonts w:ascii="宋体" w:hAnsi="宋体"/>
                <w:sz w:val="21"/>
                <w:szCs w:val="21"/>
              </w:rPr>
            </w:pPr>
            <w:r>
              <w:rPr>
                <w:rFonts w:ascii="宋体" w:hAnsi="宋体"/>
                <w:sz w:val="21"/>
                <w:szCs w:val="21"/>
              </w:rPr>
              <w:t>知识产权类别</w:t>
            </w:r>
          </w:p>
        </w:tc>
        <w:tc>
          <w:tcPr>
            <w:tcW w:w="1310" w:type="dxa"/>
            <w:tcBorders>
              <w:top w:val="single" w:color="auto" w:sz="8" w:space="0"/>
              <w:left w:val="single" w:color="auto" w:sz="8" w:space="0"/>
              <w:bottom w:val="single" w:color="auto" w:sz="8" w:space="0"/>
              <w:right w:val="single" w:color="auto" w:sz="8" w:space="0"/>
            </w:tcBorders>
            <w:vAlign w:val="center"/>
          </w:tcPr>
          <w:p w14:paraId="576642A8">
            <w:pPr>
              <w:pStyle w:val="3"/>
              <w:spacing w:line="240" w:lineRule="auto"/>
              <w:ind w:firstLine="0" w:firstLineChars="0"/>
              <w:jc w:val="center"/>
              <w:rPr>
                <w:rFonts w:ascii="宋体" w:hAnsi="宋体"/>
                <w:sz w:val="21"/>
                <w:szCs w:val="21"/>
              </w:rPr>
            </w:pPr>
            <w:r>
              <w:rPr>
                <w:rFonts w:ascii="宋体" w:hAnsi="宋体"/>
                <w:sz w:val="21"/>
                <w:szCs w:val="21"/>
              </w:rPr>
              <w:t>知识产权具体名称</w:t>
            </w:r>
          </w:p>
        </w:tc>
        <w:tc>
          <w:tcPr>
            <w:tcW w:w="812" w:type="dxa"/>
            <w:tcBorders>
              <w:top w:val="single" w:color="auto" w:sz="8" w:space="0"/>
              <w:left w:val="single" w:color="auto" w:sz="8" w:space="0"/>
              <w:bottom w:val="single" w:color="auto" w:sz="8" w:space="0"/>
              <w:right w:val="single" w:color="auto" w:sz="8" w:space="0"/>
            </w:tcBorders>
            <w:vAlign w:val="center"/>
          </w:tcPr>
          <w:p w14:paraId="09180C1D">
            <w:pPr>
              <w:pStyle w:val="3"/>
              <w:spacing w:line="240" w:lineRule="auto"/>
              <w:ind w:firstLine="0" w:firstLineChars="0"/>
              <w:jc w:val="center"/>
              <w:rPr>
                <w:rFonts w:ascii="宋体" w:hAnsi="宋体"/>
                <w:sz w:val="21"/>
                <w:szCs w:val="21"/>
              </w:rPr>
            </w:pPr>
            <w:r>
              <w:rPr>
                <w:rFonts w:ascii="宋体" w:hAnsi="宋体"/>
                <w:sz w:val="21"/>
                <w:szCs w:val="21"/>
              </w:rPr>
              <w:t>国家</w:t>
            </w:r>
          </w:p>
          <w:p w14:paraId="7A956948">
            <w:pPr>
              <w:pStyle w:val="3"/>
              <w:spacing w:line="240" w:lineRule="auto"/>
              <w:ind w:firstLine="0" w:firstLineChars="0"/>
              <w:jc w:val="center"/>
              <w:rPr>
                <w:rFonts w:ascii="宋体" w:hAnsi="宋体"/>
                <w:sz w:val="21"/>
                <w:szCs w:val="21"/>
              </w:rPr>
            </w:pPr>
            <w:r>
              <w:rPr>
                <w:rFonts w:ascii="宋体" w:hAnsi="宋体"/>
                <w:sz w:val="21"/>
                <w:szCs w:val="21"/>
              </w:rPr>
              <w:t>（地区）</w:t>
            </w:r>
          </w:p>
        </w:tc>
        <w:tc>
          <w:tcPr>
            <w:tcW w:w="1059" w:type="dxa"/>
            <w:tcBorders>
              <w:top w:val="single" w:color="auto" w:sz="8" w:space="0"/>
              <w:left w:val="single" w:color="auto" w:sz="8" w:space="0"/>
              <w:bottom w:val="single" w:color="auto" w:sz="8" w:space="0"/>
              <w:right w:val="single" w:color="auto" w:sz="8" w:space="0"/>
            </w:tcBorders>
            <w:vAlign w:val="center"/>
          </w:tcPr>
          <w:p w14:paraId="50F4EA90">
            <w:pPr>
              <w:pStyle w:val="3"/>
              <w:spacing w:line="240" w:lineRule="auto"/>
              <w:ind w:firstLine="0" w:firstLineChars="0"/>
              <w:jc w:val="center"/>
              <w:rPr>
                <w:rFonts w:ascii="宋体" w:hAnsi="宋体"/>
                <w:sz w:val="21"/>
                <w:szCs w:val="21"/>
              </w:rPr>
            </w:pPr>
            <w:r>
              <w:rPr>
                <w:rFonts w:ascii="宋体" w:hAnsi="宋体"/>
                <w:sz w:val="21"/>
                <w:szCs w:val="21"/>
              </w:rPr>
              <w:t>授权号</w:t>
            </w:r>
          </w:p>
        </w:tc>
        <w:tc>
          <w:tcPr>
            <w:tcW w:w="979" w:type="dxa"/>
            <w:tcBorders>
              <w:top w:val="single" w:color="auto" w:sz="8" w:space="0"/>
              <w:left w:val="single" w:color="auto" w:sz="8" w:space="0"/>
              <w:bottom w:val="single" w:color="auto" w:sz="8" w:space="0"/>
              <w:right w:val="single" w:color="auto" w:sz="8" w:space="0"/>
            </w:tcBorders>
            <w:vAlign w:val="center"/>
          </w:tcPr>
          <w:p w14:paraId="5ED77672">
            <w:pPr>
              <w:pStyle w:val="3"/>
              <w:spacing w:line="240" w:lineRule="auto"/>
              <w:ind w:firstLine="0" w:firstLineChars="0"/>
              <w:jc w:val="center"/>
              <w:rPr>
                <w:rFonts w:ascii="宋体" w:hAnsi="宋体"/>
                <w:sz w:val="21"/>
                <w:szCs w:val="21"/>
              </w:rPr>
            </w:pPr>
            <w:r>
              <w:rPr>
                <w:rFonts w:ascii="宋体" w:hAnsi="宋体"/>
                <w:sz w:val="21"/>
                <w:szCs w:val="21"/>
              </w:rPr>
              <w:t>授权</w:t>
            </w:r>
          </w:p>
          <w:p w14:paraId="0AE7CEFB">
            <w:pPr>
              <w:pStyle w:val="3"/>
              <w:spacing w:line="240" w:lineRule="auto"/>
              <w:ind w:firstLine="0" w:firstLineChars="0"/>
              <w:jc w:val="center"/>
              <w:rPr>
                <w:rFonts w:ascii="宋体" w:hAnsi="宋体"/>
                <w:sz w:val="21"/>
                <w:szCs w:val="21"/>
              </w:rPr>
            </w:pPr>
            <w:r>
              <w:rPr>
                <w:rFonts w:ascii="宋体" w:hAnsi="宋体"/>
                <w:sz w:val="21"/>
                <w:szCs w:val="21"/>
              </w:rPr>
              <w:t>日期</w:t>
            </w:r>
          </w:p>
        </w:tc>
        <w:tc>
          <w:tcPr>
            <w:tcW w:w="1059" w:type="dxa"/>
            <w:tcBorders>
              <w:top w:val="single" w:color="auto" w:sz="8" w:space="0"/>
              <w:left w:val="single" w:color="auto" w:sz="8" w:space="0"/>
              <w:bottom w:val="single" w:color="auto" w:sz="8" w:space="0"/>
              <w:right w:val="single" w:color="auto" w:sz="8" w:space="0"/>
            </w:tcBorders>
            <w:vAlign w:val="center"/>
          </w:tcPr>
          <w:p w14:paraId="79FC254F">
            <w:pPr>
              <w:pStyle w:val="3"/>
              <w:spacing w:line="240" w:lineRule="auto"/>
              <w:ind w:firstLine="0" w:firstLineChars="0"/>
              <w:jc w:val="center"/>
              <w:rPr>
                <w:rFonts w:ascii="宋体" w:hAnsi="宋体"/>
                <w:sz w:val="21"/>
                <w:szCs w:val="21"/>
              </w:rPr>
            </w:pPr>
            <w:r>
              <w:rPr>
                <w:rFonts w:ascii="宋体" w:hAnsi="宋体"/>
                <w:sz w:val="21"/>
                <w:szCs w:val="21"/>
              </w:rPr>
              <w:t>证书编号</w:t>
            </w:r>
          </w:p>
        </w:tc>
        <w:tc>
          <w:tcPr>
            <w:tcW w:w="1059" w:type="dxa"/>
            <w:tcBorders>
              <w:top w:val="single" w:color="auto" w:sz="8" w:space="0"/>
              <w:left w:val="single" w:color="auto" w:sz="8" w:space="0"/>
              <w:bottom w:val="single" w:color="auto" w:sz="8" w:space="0"/>
              <w:right w:val="single" w:color="auto" w:sz="8" w:space="0"/>
            </w:tcBorders>
            <w:vAlign w:val="center"/>
          </w:tcPr>
          <w:p w14:paraId="59303565">
            <w:pPr>
              <w:pStyle w:val="3"/>
              <w:spacing w:line="240" w:lineRule="auto"/>
              <w:ind w:firstLine="0" w:firstLineChars="0"/>
              <w:jc w:val="center"/>
              <w:rPr>
                <w:rFonts w:ascii="宋体" w:hAnsi="宋体"/>
                <w:sz w:val="21"/>
                <w:szCs w:val="21"/>
              </w:rPr>
            </w:pPr>
            <w:r>
              <w:rPr>
                <w:rFonts w:ascii="宋体" w:hAnsi="宋体"/>
                <w:sz w:val="21"/>
                <w:szCs w:val="21"/>
              </w:rPr>
              <w:t>权利人</w:t>
            </w:r>
          </w:p>
        </w:tc>
        <w:tc>
          <w:tcPr>
            <w:tcW w:w="979" w:type="dxa"/>
            <w:tcBorders>
              <w:top w:val="single" w:color="auto" w:sz="8" w:space="0"/>
              <w:left w:val="single" w:color="auto" w:sz="8" w:space="0"/>
              <w:bottom w:val="single" w:color="auto" w:sz="8" w:space="0"/>
              <w:right w:val="single" w:color="auto" w:sz="8" w:space="0"/>
            </w:tcBorders>
            <w:vAlign w:val="center"/>
          </w:tcPr>
          <w:p w14:paraId="297D3A89">
            <w:pPr>
              <w:pStyle w:val="3"/>
              <w:spacing w:line="240" w:lineRule="auto"/>
              <w:ind w:firstLine="0" w:firstLineChars="0"/>
              <w:jc w:val="center"/>
              <w:rPr>
                <w:rFonts w:ascii="宋体" w:hAnsi="宋体"/>
                <w:sz w:val="21"/>
                <w:szCs w:val="21"/>
              </w:rPr>
            </w:pPr>
            <w:r>
              <w:rPr>
                <w:rFonts w:ascii="宋体" w:hAnsi="宋体"/>
                <w:sz w:val="21"/>
                <w:szCs w:val="21"/>
              </w:rPr>
              <w:t>发明人</w:t>
            </w:r>
          </w:p>
        </w:tc>
      </w:tr>
      <w:tr w14:paraId="6C3E9B5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350EB908">
            <w:pPr>
              <w:pStyle w:val="3"/>
              <w:spacing w:line="240" w:lineRule="auto"/>
              <w:ind w:firstLine="0" w:firstLineChars="0"/>
              <w:jc w:val="center"/>
              <w:rPr>
                <w:rFonts w:ascii="宋体" w:hAnsi="宋体"/>
                <w:sz w:val="21"/>
                <w:szCs w:val="21"/>
              </w:rPr>
            </w:pPr>
            <w:r>
              <w:rPr>
                <w:rFonts w:ascii="Times New Roman"/>
                <w:sz w:val="21"/>
                <w:szCs w:val="21"/>
              </w:rPr>
              <w:t>1</w:t>
            </w:r>
          </w:p>
        </w:tc>
        <w:tc>
          <w:tcPr>
            <w:tcW w:w="1145" w:type="dxa"/>
            <w:tcBorders>
              <w:top w:val="single" w:color="auto" w:sz="8" w:space="0"/>
              <w:left w:val="single" w:color="auto" w:sz="8" w:space="0"/>
              <w:bottom w:val="single" w:color="auto" w:sz="8" w:space="0"/>
              <w:right w:val="single" w:color="auto" w:sz="8" w:space="0"/>
            </w:tcBorders>
            <w:vAlign w:val="center"/>
          </w:tcPr>
          <w:p w14:paraId="10DD2726">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0F339BF9">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水光储一体化系统配置储能泵的短期优化调度方法</w:t>
            </w:r>
          </w:p>
        </w:tc>
        <w:tc>
          <w:tcPr>
            <w:tcW w:w="812" w:type="dxa"/>
            <w:tcBorders>
              <w:top w:val="single" w:color="auto" w:sz="8" w:space="0"/>
              <w:left w:val="single" w:color="auto" w:sz="8" w:space="0"/>
              <w:bottom w:val="single" w:color="auto" w:sz="8" w:space="0"/>
              <w:right w:val="single" w:color="auto" w:sz="8" w:space="0"/>
            </w:tcBorders>
            <w:vAlign w:val="center"/>
          </w:tcPr>
          <w:p w14:paraId="49F357A7">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7C8B9613">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ZL 2022 1 0676608.0</w:t>
            </w:r>
          </w:p>
          <w:p w14:paraId="1776845A">
            <w:pPr>
              <w:pStyle w:val="3"/>
              <w:spacing w:line="240" w:lineRule="auto"/>
              <w:ind w:firstLine="0" w:firstLineChars="0"/>
              <w:jc w:val="center"/>
              <w:rPr>
                <w:rFonts w:ascii="Times New Roman" w:hAnsi="Times New Roman"/>
                <w:sz w:val="21"/>
                <w:szCs w:val="21"/>
              </w:rPr>
            </w:pPr>
          </w:p>
        </w:tc>
        <w:tc>
          <w:tcPr>
            <w:tcW w:w="979" w:type="dxa"/>
            <w:tcBorders>
              <w:top w:val="single" w:color="auto" w:sz="8" w:space="0"/>
              <w:left w:val="single" w:color="auto" w:sz="8" w:space="0"/>
              <w:bottom w:val="single" w:color="auto" w:sz="8" w:space="0"/>
              <w:right w:val="single" w:color="auto" w:sz="8" w:space="0"/>
            </w:tcBorders>
            <w:vAlign w:val="center"/>
          </w:tcPr>
          <w:p w14:paraId="38C02CA4">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2025.03.25</w:t>
            </w:r>
          </w:p>
        </w:tc>
        <w:tc>
          <w:tcPr>
            <w:tcW w:w="1059" w:type="dxa"/>
            <w:tcBorders>
              <w:top w:val="single" w:color="auto" w:sz="8" w:space="0"/>
              <w:left w:val="single" w:color="auto" w:sz="8" w:space="0"/>
              <w:bottom w:val="single" w:color="auto" w:sz="8" w:space="0"/>
              <w:right w:val="single" w:color="auto" w:sz="8" w:space="0"/>
            </w:tcBorders>
            <w:vAlign w:val="center"/>
          </w:tcPr>
          <w:p w14:paraId="3F7D4F0B">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7825688</w:t>
            </w:r>
          </w:p>
        </w:tc>
        <w:tc>
          <w:tcPr>
            <w:tcW w:w="1059" w:type="dxa"/>
            <w:tcBorders>
              <w:top w:val="single" w:color="auto" w:sz="8" w:space="0"/>
              <w:left w:val="single" w:color="auto" w:sz="8" w:space="0"/>
              <w:bottom w:val="single" w:color="auto" w:sz="8" w:space="0"/>
              <w:right w:val="single" w:color="auto" w:sz="8" w:space="0"/>
            </w:tcBorders>
            <w:vAlign w:val="center"/>
          </w:tcPr>
          <w:p w14:paraId="454E2D11">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西北农林科技大学</w:t>
            </w:r>
          </w:p>
        </w:tc>
        <w:tc>
          <w:tcPr>
            <w:tcW w:w="979" w:type="dxa"/>
            <w:tcBorders>
              <w:top w:val="single" w:color="auto" w:sz="8" w:space="0"/>
              <w:left w:val="single" w:color="auto" w:sz="8" w:space="0"/>
              <w:bottom w:val="single" w:color="auto" w:sz="8" w:space="0"/>
              <w:right w:val="single" w:color="auto" w:sz="8" w:space="0"/>
            </w:tcBorders>
            <w:vAlign w:val="center"/>
          </w:tcPr>
          <w:p w14:paraId="6323B75F">
            <w:pPr>
              <w:pStyle w:val="3"/>
              <w:spacing w:line="240" w:lineRule="auto"/>
              <w:ind w:firstLine="0" w:firstLineChars="0"/>
              <w:jc w:val="center"/>
              <w:rPr>
                <w:rFonts w:hint="eastAsia" w:ascii="Times New Roman"/>
                <w:b/>
                <w:sz w:val="21"/>
                <w:szCs w:val="21"/>
              </w:rPr>
            </w:pPr>
            <w:r>
              <w:rPr>
                <w:rFonts w:hint="eastAsia" w:ascii="Times New Roman"/>
                <w:sz w:val="21"/>
                <w:szCs w:val="21"/>
                <w:lang w:val="en-US" w:eastAsia="zh-CN"/>
              </w:rPr>
              <w:t>杨天煜;许贝贝;</w:t>
            </w:r>
            <w:r>
              <w:rPr>
                <w:rFonts w:hint="eastAsia" w:ascii="Times New Roman"/>
                <w:b/>
                <w:sz w:val="21"/>
                <w:szCs w:val="21"/>
                <w:lang w:val="en-US" w:eastAsia="zh-CN"/>
              </w:rPr>
              <w:t>陈帝伊;</w:t>
            </w:r>
            <w:r>
              <w:rPr>
                <w:rFonts w:hint="eastAsia" w:ascii="Times New Roman"/>
                <w:sz w:val="21"/>
                <w:szCs w:val="21"/>
                <w:lang w:val="en-US" w:eastAsia="zh-CN"/>
              </w:rPr>
              <w:t>段宏江;</w:t>
            </w:r>
            <w:r>
              <w:rPr>
                <w:rFonts w:hint="eastAsia" w:ascii="Times New Roman"/>
                <w:b/>
                <w:sz w:val="21"/>
                <w:szCs w:val="21"/>
                <w:lang w:val="en-US" w:eastAsia="zh-CN"/>
              </w:rPr>
              <w:t>张军智;</w:t>
            </w:r>
            <w:r>
              <w:rPr>
                <w:rFonts w:hint="eastAsia" w:ascii="Times New Roman"/>
                <w:sz w:val="21"/>
                <w:szCs w:val="21"/>
                <w:lang w:val="en-US" w:eastAsia="zh-CN"/>
              </w:rPr>
              <w:t>张兴瑾;曾茂森</w:t>
            </w:r>
          </w:p>
        </w:tc>
      </w:tr>
      <w:tr w14:paraId="1261B6A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38D94A2B">
            <w:pPr>
              <w:pStyle w:val="3"/>
              <w:spacing w:line="240" w:lineRule="auto"/>
              <w:ind w:firstLine="0" w:firstLineChars="0"/>
              <w:jc w:val="center"/>
              <w:rPr>
                <w:rFonts w:ascii="宋体" w:hAnsi="宋体"/>
                <w:sz w:val="21"/>
                <w:szCs w:val="21"/>
              </w:rPr>
            </w:pPr>
            <w:r>
              <w:rPr>
                <w:rFonts w:hint="eastAsia" w:ascii="Times New Roman"/>
                <w:sz w:val="21"/>
                <w:szCs w:val="21"/>
              </w:rPr>
              <w:t>2</w:t>
            </w:r>
          </w:p>
        </w:tc>
        <w:tc>
          <w:tcPr>
            <w:tcW w:w="1145" w:type="dxa"/>
            <w:tcBorders>
              <w:top w:val="single" w:color="auto" w:sz="8" w:space="0"/>
              <w:left w:val="single" w:color="auto" w:sz="8" w:space="0"/>
              <w:bottom w:val="single" w:color="auto" w:sz="8" w:space="0"/>
              <w:right w:val="single" w:color="auto" w:sz="8" w:space="0"/>
            </w:tcBorders>
            <w:vAlign w:val="center"/>
          </w:tcPr>
          <w:p w14:paraId="02FF2213">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10CAED33">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一种考虑分区互济的电力系统电力电量平衡方法</w:t>
            </w:r>
          </w:p>
        </w:tc>
        <w:tc>
          <w:tcPr>
            <w:tcW w:w="812" w:type="dxa"/>
            <w:tcBorders>
              <w:top w:val="single" w:color="auto" w:sz="8" w:space="0"/>
              <w:left w:val="single" w:color="auto" w:sz="8" w:space="0"/>
              <w:bottom w:val="single" w:color="auto" w:sz="8" w:space="0"/>
              <w:right w:val="single" w:color="auto" w:sz="8" w:space="0"/>
            </w:tcBorders>
            <w:vAlign w:val="center"/>
          </w:tcPr>
          <w:p w14:paraId="53FA7D25">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4B9FC716">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ZL 2024 1 1001034.2</w:t>
            </w:r>
          </w:p>
        </w:tc>
        <w:tc>
          <w:tcPr>
            <w:tcW w:w="979" w:type="dxa"/>
            <w:tcBorders>
              <w:top w:val="single" w:color="auto" w:sz="8" w:space="0"/>
              <w:left w:val="single" w:color="auto" w:sz="8" w:space="0"/>
              <w:bottom w:val="single" w:color="auto" w:sz="8" w:space="0"/>
              <w:right w:val="single" w:color="auto" w:sz="8" w:space="0"/>
            </w:tcBorders>
            <w:vAlign w:val="center"/>
          </w:tcPr>
          <w:p w14:paraId="4BA57E3E">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024.9.27</w:t>
            </w:r>
          </w:p>
        </w:tc>
        <w:tc>
          <w:tcPr>
            <w:tcW w:w="1059" w:type="dxa"/>
            <w:tcBorders>
              <w:top w:val="single" w:color="auto" w:sz="8" w:space="0"/>
              <w:left w:val="single" w:color="auto" w:sz="8" w:space="0"/>
              <w:bottom w:val="single" w:color="auto" w:sz="8" w:space="0"/>
              <w:right w:val="single" w:color="auto" w:sz="8" w:space="0"/>
            </w:tcBorders>
            <w:vAlign w:val="center"/>
          </w:tcPr>
          <w:p w14:paraId="26E8F5E7">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7</w:t>
            </w:r>
            <w:r>
              <w:rPr>
                <w:rFonts w:ascii="Times New Roman" w:hAnsi="Times New Roman"/>
                <w:sz w:val="21"/>
                <w:szCs w:val="21"/>
              </w:rPr>
              <w:t>410502</w:t>
            </w:r>
          </w:p>
        </w:tc>
        <w:tc>
          <w:tcPr>
            <w:tcW w:w="1059" w:type="dxa"/>
            <w:tcBorders>
              <w:top w:val="single" w:color="auto" w:sz="8" w:space="0"/>
              <w:left w:val="single" w:color="auto" w:sz="8" w:space="0"/>
              <w:bottom w:val="single" w:color="auto" w:sz="8" w:space="0"/>
              <w:right w:val="single" w:color="auto" w:sz="8" w:space="0"/>
            </w:tcBorders>
            <w:vAlign w:val="center"/>
          </w:tcPr>
          <w:p w14:paraId="522E6F8A">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水电水利规划设计总院、水电水利规划设计总院有限公司、中国水利水电建设工程咨询有限公司</w:t>
            </w:r>
          </w:p>
        </w:tc>
        <w:tc>
          <w:tcPr>
            <w:tcW w:w="979" w:type="dxa"/>
            <w:tcBorders>
              <w:top w:val="single" w:color="auto" w:sz="8" w:space="0"/>
              <w:left w:val="single" w:color="auto" w:sz="8" w:space="0"/>
              <w:bottom w:val="single" w:color="auto" w:sz="8" w:space="0"/>
              <w:right w:val="single" w:color="auto" w:sz="8" w:space="0"/>
            </w:tcBorders>
            <w:vAlign w:val="center"/>
          </w:tcPr>
          <w:p w14:paraId="5A79EC0E">
            <w:pPr>
              <w:pStyle w:val="3"/>
              <w:spacing w:line="240" w:lineRule="auto"/>
              <w:ind w:firstLine="0" w:firstLineChars="0"/>
              <w:jc w:val="center"/>
              <w:rPr>
                <w:rFonts w:ascii="宋体" w:hAnsi="宋体"/>
                <w:sz w:val="21"/>
                <w:szCs w:val="21"/>
              </w:rPr>
            </w:pPr>
            <w:r>
              <w:rPr>
                <w:rFonts w:hint="eastAsia" w:ascii="Times New Roman"/>
                <w:b/>
                <w:sz w:val="21"/>
                <w:szCs w:val="21"/>
              </w:rPr>
              <w:t>赵增海</w:t>
            </w:r>
            <w:r>
              <w:rPr>
                <w:rFonts w:hint="eastAsia" w:ascii="Times New Roman"/>
                <w:sz w:val="21"/>
                <w:szCs w:val="21"/>
              </w:rPr>
              <w:t>;</w:t>
            </w:r>
            <w:r>
              <w:rPr>
                <w:rFonts w:hint="eastAsia" w:ascii="Times New Roman"/>
                <w:b/>
                <w:sz w:val="21"/>
                <w:szCs w:val="21"/>
              </w:rPr>
              <w:t>张东;</w:t>
            </w:r>
            <w:r>
              <w:rPr>
                <w:rFonts w:hint="eastAsia" w:ascii="Times New Roman"/>
                <w:sz w:val="21"/>
                <w:szCs w:val="21"/>
              </w:rPr>
              <w:t>朱</w:t>
            </w:r>
            <w:r>
              <w:rPr>
                <w:rFonts w:hint="eastAsia" w:ascii="Times New Roman"/>
                <w:b/>
                <w:sz w:val="21"/>
                <w:szCs w:val="21"/>
              </w:rPr>
              <w:t>方亮;高洁</w:t>
            </w:r>
            <w:r>
              <w:rPr>
                <w:rFonts w:hint="eastAsia" w:ascii="Times New Roman"/>
                <w:sz w:val="21"/>
                <w:szCs w:val="21"/>
              </w:rPr>
              <w:t>;</w:t>
            </w:r>
            <w:r>
              <w:rPr>
                <w:rFonts w:hint="eastAsia"/>
                <w:sz w:val="21"/>
                <w:szCs w:val="21"/>
              </w:rPr>
              <w:t xml:space="preserve"> </w:t>
            </w:r>
            <w:r>
              <w:rPr>
                <w:rFonts w:hint="eastAsia" w:ascii="Times New Roman"/>
                <w:sz w:val="21"/>
                <w:szCs w:val="21"/>
              </w:rPr>
              <w:t>王旭;杨百银;韩冬;卢鹏;朱熠明;邓振辰；刘纳</w:t>
            </w:r>
          </w:p>
        </w:tc>
      </w:tr>
      <w:tr w14:paraId="2D1FD0A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49A89E73">
            <w:pPr>
              <w:pStyle w:val="3"/>
              <w:spacing w:line="240" w:lineRule="auto"/>
              <w:ind w:firstLine="0" w:firstLineChars="0"/>
              <w:jc w:val="center"/>
              <w:rPr>
                <w:rFonts w:ascii="宋体" w:hAnsi="宋体"/>
                <w:sz w:val="21"/>
                <w:szCs w:val="21"/>
              </w:rPr>
            </w:pPr>
            <w:r>
              <w:rPr>
                <w:rFonts w:hint="eastAsia" w:ascii="Times New Roman"/>
                <w:sz w:val="21"/>
                <w:szCs w:val="21"/>
              </w:rPr>
              <w:t>3</w:t>
            </w:r>
          </w:p>
        </w:tc>
        <w:tc>
          <w:tcPr>
            <w:tcW w:w="1145" w:type="dxa"/>
            <w:tcBorders>
              <w:top w:val="single" w:color="auto" w:sz="8" w:space="0"/>
              <w:left w:val="single" w:color="auto" w:sz="8" w:space="0"/>
              <w:bottom w:val="single" w:color="auto" w:sz="8" w:space="0"/>
              <w:right w:val="single" w:color="auto" w:sz="8" w:space="0"/>
            </w:tcBorders>
            <w:vAlign w:val="center"/>
          </w:tcPr>
          <w:p w14:paraId="64D378B1">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1FCA131E">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基于水电储能工厂的多能互补发电系统电源容量配置方法</w:t>
            </w:r>
          </w:p>
        </w:tc>
        <w:tc>
          <w:tcPr>
            <w:tcW w:w="812" w:type="dxa"/>
            <w:tcBorders>
              <w:top w:val="single" w:color="auto" w:sz="8" w:space="0"/>
              <w:left w:val="single" w:color="auto" w:sz="8" w:space="0"/>
              <w:bottom w:val="single" w:color="auto" w:sz="8" w:space="0"/>
              <w:right w:val="single" w:color="auto" w:sz="8" w:space="0"/>
            </w:tcBorders>
            <w:vAlign w:val="center"/>
          </w:tcPr>
          <w:p w14:paraId="264C2032">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517BDDC7">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ZL</w:t>
            </w:r>
            <w:r>
              <w:rPr>
                <w:rFonts w:hint="eastAsia" w:ascii="Times New Roman"/>
                <w:sz w:val="21"/>
                <w:szCs w:val="21"/>
                <w:lang w:val="en-US" w:eastAsia="zh-CN"/>
              </w:rPr>
              <w:t xml:space="preserve"> </w:t>
            </w:r>
            <w:r>
              <w:rPr>
                <w:rFonts w:ascii="Times New Roman" w:hAnsi="Times New Roman"/>
                <w:sz w:val="21"/>
                <w:szCs w:val="21"/>
              </w:rPr>
              <w:t>2024</w:t>
            </w:r>
            <w:r>
              <w:rPr>
                <w:rFonts w:hint="eastAsia" w:ascii="Times New Roman"/>
                <w:sz w:val="21"/>
                <w:szCs w:val="21"/>
                <w:lang w:val="en-US" w:eastAsia="zh-CN"/>
              </w:rPr>
              <w:t xml:space="preserve"> </w:t>
            </w:r>
            <w:r>
              <w:rPr>
                <w:rFonts w:ascii="Times New Roman" w:hAnsi="Times New Roman"/>
                <w:sz w:val="21"/>
                <w:szCs w:val="21"/>
              </w:rPr>
              <w:t>1</w:t>
            </w:r>
            <w:r>
              <w:rPr>
                <w:rFonts w:hint="eastAsia" w:ascii="Times New Roman"/>
                <w:sz w:val="21"/>
                <w:szCs w:val="21"/>
                <w:lang w:val="en-US" w:eastAsia="zh-CN"/>
              </w:rPr>
              <w:t xml:space="preserve"> </w:t>
            </w:r>
            <w:r>
              <w:rPr>
                <w:rFonts w:ascii="Times New Roman" w:hAnsi="Times New Roman"/>
                <w:sz w:val="21"/>
                <w:szCs w:val="21"/>
              </w:rPr>
              <w:t>0222384.5</w:t>
            </w:r>
          </w:p>
        </w:tc>
        <w:tc>
          <w:tcPr>
            <w:tcW w:w="979" w:type="dxa"/>
            <w:tcBorders>
              <w:top w:val="single" w:color="auto" w:sz="8" w:space="0"/>
              <w:left w:val="single" w:color="auto" w:sz="8" w:space="0"/>
              <w:bottom w:val="single" w:color="auto" w:sz="8" w:space="0"/>
              <w:right w:val="single" w:color="auto" w:sz="8" w:space="0"/>
            </w:tcBorders>
            <w:vAlign w:val="center"/>
          </w:tcPr>
          <w:p w14:paraId="17F7FD4D">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024.06.04</w:t>
            </w:r>
          </w:p>
        </w:tc>
        <w:tc>
          <w:tcPr>
            <w:tcW w:w="1059" w:type="dxa"/>
            <w:tcBorders>
              <w:top w:val="single" w:color="auto" w:sz="8" w:space="0"/>
              <w:left w:val="single" w:color="auto" w:sz="8" w:space="0"/>
              <w:bottom w:val="single" w:color="auto" w:sz="8" w:space="0"/>
              <w:right w:val="single" w:color="auto" w:sz="8" w:space="0"/>
            </w:tcBorders>
            <w:vAlign w:val="center"/>
          </w:tcPr>
          <w:p w14:paraId="1FBD3CEE">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7</w:t>
            </w:r>
            <w:r>
              <w:rPr>
                <w:rFonts w:ascii="Times New Roman" w:hAnsi="Times New Roman"/>
                <w:sz w:val="21"/>
                <w:szCs w:val="21"/>
              </w:rPr>
              <w:t>068074</w:t>
            </w:r>
          </w:p>
        </w:tc>
        <w:tc>
          <w:tcPr>
            <w:tcW w:w="1059" w:type="dxa"/>
            <w:tcBorders>
              <w:top w:val="single" w:color="auto" w:sz="8" w:space="0"/>
              <w:left w:val="single" w:color="auto" w:sz="8" w:space="0"/>
              <w:bottom w:val="single" w:color="auto" w:sz="8" w:space="0"/>
              <w:right w:val="single" w:color="auto" w:sz="8" w:space="0"/>
            </w:tcBorders>
            <w:vAlign w:val="center"/>
          </w:tcPr>
          <w:p w14:paraId="39D734A7">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中国电建集团西北勘测设计研究院有限公司</w:t>
            </w:r>
            <w:r>
              <w:rPr>
                <w:rFonts w:hint="eastAsia" w:ascii="Times New Roman" w:hAnsi="Times New Roman"/>
                <w:sz w:val="21"/>
                <w:szCs w:val="21"/>
              </w:rPr>
              <w:t>、水电水利规划设计总院</w:t>
            </w:r>
          </w:p>
        </w:tc>
        <w:tc>
          <w:tcPr>
            <w:tcW w:w="979" w:type="dxa"/>
            <w:tcBorders>
              <w:top w:val="single" w:color="auto" w:sz="8" w:space="0"/>
              <w:left w:val="single" w:color="auto" w:sz="8" w:space="0"/>
              <w:bottom w:val="single" w:color="auto" w:sz="8" w:space="0"/>
              <w:right w:val="single" w:color="auto" w:sz="8" w:space="0"/>
            </w:tcBorders>
            <w:vAlign w:val="center"/>
          </w:tcPr>
          <w:p w14:paraId="100BBB5E">
            <w:pPr>
              <w:pStyle w:val="3"/>
              <w:spacing w:line="240" w:lineRule="auto"/>
              <w:ind w:firstLine="0" w:firstLineChars="0"/>
              <w:jc w:val="center"/>
              <w:rPr>
                <w:rFonts w:ascii="宋体" w:hAnsi="宋体"/>
                <w:sz w:val="21"/>
                <w:szCs w:val="21"/>
              </w:rPr>
            </w:pPr>
            <w:r>
              <w:rPr>
                <w:rFonts w:ascii="Times New Roman"/>
                <w:sz w:val="21"/>
                <w:szCs w:val="21"/>
              </w:rPr>
              <w:t>周恒</w:t>
            </w:r>
            <w:r>
              <w:rPr>
                <w:rFonts w:hint="eastAsia" w:ascii="Times New Roman"/>
                <w:sz w:val="21"/>
                <w:szCs w:val="21"/>
              </w:rPr>
              <w:t>、</w:t>
            </w:r>
            <w:r>
              <w:rPr>
                <w:rFonts w:ascii="Times New Roman"/>
                <w:sz w:val="21"/>
                <w:szCs w:val="21"/>
              </w:rPr>
              <w:t>姜梦妍</w:t>
            </w:r>
            <w:r>
              <w:rPr>
                <w:rFonts w:hint="eastAsia" w:ascii="Times New Roman"/>
                <w:sz w:val="21"/>
                <w:szCs w:val="21"/>
              </w:rPr>
              <w:t>;</w:t>
            </w:r>
            <w:r>
              <w:rPr>
                <w:rFonts w:ascii="Times New Roman"/>
                <w:b/>
                <w:sz w:val="21"/>
                <w:szCs w:val="21"/>
              </w:rPr>
              <w:t>高洁</w:t>
            </w:r>
            <w:r>
              <w:rPr>
                <w:rFonts w:hint="eastAsia" w:ascii="Times New Roman"/>
                <w:sz w:val="21"/>
                <w:szCs w:val="21"/>
              </w:rPr>
              <w:t>;</w:t>
            </w:r>
            <w:r>
              <w:rPr>
                <w:rFonts w:ascii="Times New Roman"/>
                <w:sz w:val="21"/>
                <w:szCs w:val="21"/>
              </w:rPr>
              <w:t>董闯</w:t>
            </w:r>
            <w:r>
              <w:rPr>
                <w:rFonts w:hint="eastAsia" w:ascii="Times New Roman"/>
                <w:sz w:val="21"/>
                <w:szCs w:val="21"/>
              </w:rPr>
              <w:t>;</w:t>
            </w:r>
            <w:r>
              <w:rPr>
                <w:rFonts w:ascii="Times New Roman"/>
                <w:sz w:val="21"/>
                <w:szCs w:val="21"/>
              </w:rPr>
              <w:t>闫启明</w:t>
            </w:r>
            <w:r>
              <w:rPr>
                <w:rFonts w:hint="eastAsia" w:ascii="Times New Roman"/>
                <w:sz w:val="21"/>
                <w:szCs w:val="21"/>
              </w:rPr>
              <w:t>;</w:t>
            </w:r>
            <w:r>
              <w:rPr>
                <w:rFonts w:ascii="Times New Roman"/>
                <w:sz w:val="21"/>
                <w:szCs w:val="21"/>
              </w:rPr>
              <w:t>李运龙</w:t>
            </w:r>
            <w:r>
              <w:rPr>
                <w:rFonts w:hint="eastAsia" w:ascii="Times New Roman"/>
                <w:sz w:val="21"/>
                <w:szCs w:val="21"/>
              </w:rPr>
              <w:t>;</w:t>
            </w:r>
            <w:r>
              <w:rPr>
                <w:rFonts w:ascii="Times New Roman"/>
                <w:b/>
                <w:sz w:val="21"/>
                <w:szCs w:val="21"/>
              </w:rPr>
              <w:t>张娉</w:t>
            </w:r>
            <w:r>
              <w:rPr>
                <w:rFonts w:hint="eastAsia" w:ascii="Times New Roman"/>
                <w:b/>
                <w:sz w:val="21"/>
                <w:szCs w:val="21"/>
              </w:rPr>
              <w:t>;</w:t>
            </w:r>
            <w:r>
              <w:rPr>
                <w:rFonts w:ascii="Times New Roman"/>
                <w:b/>
                <w:sz w:val="21"/>
                <w:szCs w:val="21"/>
              </w:rPr>
              <w:t>王社亮</w:t>
            </w:r>
            <w:r>
              <w:rPr>
                <w:rFonts w:hint="eastAsia" w:ascii="Times New Roman"/>
                <w:b/>
                <w:sz w:val="21"/>
                <w:szCs w:val="21"/>
              </w:rPr>
              <w:t>;</w:t>
            </w:r>
            <w:r>
              <w:rPr>
                <w:rFonts w:ascii="Times New Roman"/>
                <w:b/>
                <w:sz w:val="21"/>
                <w:szCs w:val="21"/>
              </w:rPr>
              <w:t>朱方亮</w:t>
            </w:r>
            <w:r>
              <w:rPr>
                <w:rFonts w:hint="eastAsia" w:ascii="Times New Roman"/>
                <w:b/>
                <w:sz w:val="21"/>
                <w:szCs w:val="21"/>
              </w:rPr>
              <w:t>;</w:t>
            </w:r>
            <w:r>
              <w:rPr>
                <w:rFonts w:ascii="Times New Roman"/>
                <w:b/>
                <w:sz w:val="21"/>
                <w:szCs w:val="21"/>
              </w:rPr>
              <w:t>顾建伟</w:t>
            </w:r>
          </w:p>
        </w:tc>
      </w:tr>
      <w:tr w14:paraId="27E956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38955A49">
            <w:pPr>
              <w:pStyle w:val="3"/>
              <w:spacing w:line="240" w:lineRule="auto"/>
              <w:ind w:firstLine="0" w:firstLineChars="0"/>
              <w:jc w:val="center"/>
              <w:rPr>
                <w:rFonts w:ascii="宋体" w:hAnsi="宋体"/>
                <w:sz w:val="21"/>
                <w:szCs w:val="21"/>
              </w:rPr>
            </w:pPr>
            <w:r>
              <w:rPr>
                <w:rFonts w:ascii="Times New Roman"/>
                <w:sz w:val="21"/>
                <w:szCs w:val="21"/>
              </w:rPr>
              <w:t>4</w:t>
            </w:r>
          </w:p>
        </w:tc>
        <w:tc>
          <w:tcPr>
            <w:tcW w:w="1145" w:type="dxa"/>
            <w:tcBorders>
              <w:top w:val="single" w:color="auto" w:sz="8" w:space="0"/>
              <w:left w:val="single" w:color="auto" w:sz="8" w:space="0"/>
              <w:bottom w:val="single" w:color="auto" w:sz="8" w:space="0"/>
              <w:right w:val="single" w:color="auto" w:sz="8" w:space="0"/>
            </w:tcBorders>
            <w:vAlign w:val="center"/>
          </w:tcPr>
          <w:p w14:paraId="54B56967">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4E9967D0">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一种PID控制和自抗扰控制结合的风水系统控制方法</w:t>
            </w:r>
          </w:p>
        </w:tc>
        <w:tc>
          <w:tcPr>
            <w:tcW w:w="812" w:type="dxa"/>
            <w:tcBorders>
              <w:top w:val="single" w:color="auto" w:sz="8" w:space="0"/>
              <w:left w:val="single" w:color="auto" w:sz="8" w:space="0"/>
              <w:bottom w:val="single" w:color="auto" w:sz="8" w:space="0"/>
              <w:right w:val="single" w:color="auto" w:sz="8" w:space="0"/>
            </w:tcBorders>
            <w:vAlign w:val="center"/>
          </w:tcPr>
          <w:p w14:paraId="6E3076C5">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54494619">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ZL 2022 1 1101525.5</w:t>
            </w:r>
          </w:p>
        </w:tc>
        <w:tc>
          <w:tcPr>
            <w:tcW w:w="979" w:type="dxa"/>
            <w:tcBorders>
              <w:top w:val="single" w:color="auto" w:sz="8" w:space="0"/>
              <w:left w:val="single" w:color="auto" w:sz="8" w:space="0"/>
              <w:bottom w:val="single" w:color="auto" w:sz="8" w:space="0"/>
              <w:right w:val="single" w:color="auto" w:sz="8" w:space="0"/>
            </w:tcBorders>
            <w:vAlign w:val="center"/>
          </w:tcPr>
          <w:p w14:paraId="1A130187">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024.11.26</w:t>
            </w:r>
          </w:p>
        </w:tc>
        <w:tc>
          <w:tcPr>
            <w:tcW w:w="1059" w:type="dxa"/>
            <w:tcBorders>
              <w:top w:val="single" w:color="auto" w:sz="8" w:space="0"/>
              <w:left w:val="single" w:color="auto" w:sz="8" w:space="0"/>
              <w:bottom w:val="single" w:color="auto" w:sz="8" w:space="0"/>
              <w:right w:val="single" w:color="auto" w:sz="8" w:space="0"/>
            </w:tcBorders>
            <w:vAlign w:val="center"/>
          </w:tcPr>
          <w:p w14:paraId="662E66B7">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7</w:t>
            </w:r>
            <w:r>
              <w:rPr>
                <w:rFonts w:ascii="Times New Roman" w:hAnsi="Times New Roman"/>
                <w:sz w:val="21"/>
                <w:szCs w:val="21"/>
              </w:rPr>
              <w:t>558729</w:t>
            </w:r>
          </w:p>
        </w:tc>
        <w:tc>
          <w:tcPr>
            <w:tcW w:w="1059" w:type="dxa"/>
            <w:tcBorders>
              <w:top w:val="single" w:color="auto" w:sz="8" w:space="0"/>
              <w:left w:val="single" w:color="auto" w:sz="8" w:space="0"/>
              <w:bottom w:val="single" w:color="auto" w:sz="8" w:space="0"/>
              <w:right w:val="single" w:color="auto" w:sz="8" w:space="0"/>
            </w:tcBorders>
            <w:vAlign w:val="center"/>
          </w:tcPr>
          <w:p w14:paraId="1D27700C">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西北农林科技大学</w:t>
            </w:r>
          </w:p>
        </w:tc>
        <w:tc>
          <w:tcPr>
            <w:tcW w:w="979" w:type="dxa"/>
            <w:tcBorders>
              <w:top w:val="single" w:color="auto" w:sz="8" w:space="0"/>
              <w:left w:val="single" w:color="auto" w:sz="8" w:space="0"/>
              <w:bottom w:val="single" w:color="auto" w:sz="8" w:space="0"/>
              <w:right w:val="single" w:color="auto" w:sz="8" w:space="0"/>
            </w:tcBorders>
            <w:vAlign w:val="center"/>
          </w:tcPr>
          <w:p w14:paraId="0D022F9D">
            <w:pPr>
              <w:pStyle w:val="3"/>
              <w:spacing w:line="240" w:lineRule="auto"/>
              <w:ind w:firstLine="0" w:firstLineChars="0"/>
              <w:jc w:val="center"/>
              <w:rPr>
                <w:rFonts w:ascii="宋体" w:hAnsi="宋体"/>
                <w:sz w:val="21"/>
                <w:szCs w:val="21"/>
              </w:rPr>
            </w:pPr>
            <w:r>
              <w:rPr>
                <w:rFonts w:hint="eastAsia" w:ascii="Times New Roman"/>
                <w:sz w:val="21"/>
                <w:szCs w:val="21"/>
              </w:rPr>
              <w:t>吴凤娇;周东东;王斌;</w:t>
            </w:r>
            <w:r>
              <w:rPr>
                <w:rFonts w:hint="eastAsia" w:ascii="Times New Roman"/>
                <w:b/>
                <w:sz w:val="21"/>
                <w:szCs w:val="21"/>
              </w:rPr>
              <w:t>陈帝伊</w:t>
            </w:r>
            <w:r>
              <w:rPr>
                <w:rFonts w:hint="eastAsia" w:ascii="Times New Roman"/>
                <w:sz w:val="21"/>
                <w:szCs w:val="21"/>
              </w:rPr>
              <w:t>;陈建林;王绍强</w:t>
            </w:r>
          </w:p>
        </w:tc>
      </w:tr>
      <w:tr w14:paraId="02E30BC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3DB3DC3A">
            <w:pPr>
              <w:pStyle w:val="3"/>
              <w:spacing w:line="240" w:lineRule="auto"/>
              <w:ind w:firstLine="0" w:firstLineChars="0"/>
              <w:jc w:val="center"/>
              <w:rPr>
                <w:rFonts w:ascii="宋体" w:hAnsi="宋体"/>
                <w:sz w:val="21"/>
                <w:szCs w:val="21"/>
              </w:rPr>
            </w:pPr>
            <w:r>
              <w:rPr>
                <w:rFonts w:ascii="Times New Roman"/>
                <w:sz w:val="21"/>
                <w:szCs w:val="21"/>
              </w:rPr>
              <w:t>5</w:t>
            </w:r>
          </w:p>
        </w:tc>
        <w:tc>
          <w:tcPr>
            <w:tcW w:w="1145" w:type="dxa"/>
            <w:tcBorders>
              <w:top w:val="single" w:color="auto" w:sz="8" w:space="0"/>
              <w:left w:val="single" w:color="auto" w:sz="8" w:space="0"/>
              <w:bottom w:val="single" w:color="auto" w:sz="8" w:space="0"/>
              <w:right w:val="single" w:color="auto" w:sz="8" w:space="0"/>
            </w:tcBorders>
            <w:vAlign w:val="center"/>
          </w:tcPr>
          <w:p w14:paraId="38146A2C">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标准</w:t>
            </w:r>
            <w:r>
              <w:rPr>
                <w:rFonts w:ascii="Times New Roman" w:hAnsi="Times New Roman"/>
                <w:sz w:val="21"/>
                <w:szCs w:val="21"/>
              </w:rPr>
              <w:t>规范</w:t>
            </w:r>
          </w:p>
        </w:tc>
        <w:tc>
          <w:tcPr>
            <w:tcW w:w="1310" w:type="dxa"/>
            <w:tcBorders>
              <w:top w:val="single" w:color="auto" w:sz="8" w:space="0"/>
              <w:left w:val="single" w:color="auto" w:sz="8" w:space="0"/>
              <w:bottom w:val="single" w:color="auto" w:sz="8" w:space="0"/>
              <w:right w:val="single" w:color="auto" w:sz="8" w:space="0"/>
            </w:tcBorders>
            <w:vAlign w:val="center"/>
          </w:tcPr>
          <w:p w14:paraId="0239F04E">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风光水火储多能互补发电工程规划报告编制规程</w:t>
            </w:r>
          </w:p>
        </w:tc>
        <w:tc>
          <w:tcPr>
            <w:tcW w:w="812" w:type="dxa"/>
            <w:tcBorders>
              <w:top w:val="single" w:color="auto" w:sz="8" w:space="0"/>
              <w:left w:val="single" w:color="auto" w:sz="8" w:space="0"/>
              <w:bottom w:val="single" w:color="auto" w:sz="8" w:space="0"/>
              <w:right w:val="single" w:color="auto" w:sz="8" w:space="0"/>
            </w:tcBorders>
            <w:vAlign w:val="center"/>
          </w:tcPr>
          <w:p w14:paraId="03C49D68">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28D753AF">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NB/T11082-2023</w:t>
            </w:r>
          </w:p>
        </w:tc>
        <w:tc>
          <w:tcPr>
            <w:tcW w:w="979" w:type="dxa"/>
            <w:tcBorders>
              <w:top w:val="single" w:color="auto" w:sz="8" w:space="0"/>
              <w:left w:val="single" w:color="auto" w:sz="8" w:space="0"/>
              <w:bottom w:val="single" w:color="auto" w:sz="8" w:space="0"/>
              <w:right w:val="single" w:color="auto" w:sz="8" w:space="0"/>
            </w:tcBorders>
            <w:vAlign w:val="center"/>
          </w:tcPr>
          <w:p w14:paraId="67B2342F">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2023.08.06</w:t>
            </w:r>
          </w:p>
        </w:tc>
        <w:tc>
          <w:tcPr>
            <w:tcW w:w="1059" w:type="dxa"/>
            <w:tcBorders>
              <w:top w:val="single" w:color="auto" w:sz="8" w:space="0"/>
              <w:left w:val="single" w:color="auto" w:sz="8" w:space="0"/>
              <w:bottom w:val="single" w:color="auto" w:sz="8" w:space="0"/>
              <w:right w:val="single" w:color="auto" w:sz="8" w:space="0"/>
            </w:tcBorders>
            <w:vAlign w:val="center"/>
          </w:tcPr>
          <w:p w14:paraId="3A88D4F1">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国家能源局</w:t>
            </w:r>
          </w:p>
        </w:tc>
        <w:tc>
          <w:tcPr>
            <w:tcW w:w="1059" w:type="dxa"/>
            <w:tcBorders>
              <w:top w:val="single" w:color="auto" w:sz="8" w:space="0"/>
              <w:left w:val="single" w:color="auto" w:sz="8" w:space="0"/>
              <w:bottom w:val="single" w:color="auto" w:sz="8" w:space="0"/>
              <w:right w:val="single" w:color="auto" w:sz="8" w:space="0"/>
            </w:tcBorders>
            <w:vAlign w:val="center"/>
          </w:tcPr>
          <w:p w14:paraId="2E5DE5E3">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中国电建集团西北勘测设计研究院有限公司、中国电建集团成都勘测设计研究院有限公司、水电水利规划设计总院</w:t>
            </w:r>
          </w:p>
        </w:tc>
        <w:tc>
          <w:tcPr>
            <w:tcW w:w="979" w:type="dxa"/>
            <w:tcBorders>
              <w:top w:val="single" w:color="auto" w:sz="8" w:space="0"/>
              <w:left w:val="single" w:color="auto" w:sz="8" w:space="0"/>
              <w:bottom w:val="single" w:color="auto" w:sz="8" w:space="0"/>
              <w:right w:val="single" w:color="auto" w:sz="8" w:space="0"/>
            </w:tcBorders>
            <w:vAlign w:val="center"/>
          </w:tcPr>
          <w:p w14:paraId="6349021D">
            <w:pPr>
              <w:pStyle w:val="3"/>
              <w:spacing w:line="240" w:lineRule="auto"/>
              <w:ind w:firstLine="0" w:firstLineChars="0"/>
              <w:jc w:val="center"/>
              <w:rPr>
                <w:rFonts w:ascii="宋体" w:hAnsi="宋体"/>
                <w:sz w:val="21"/>
                <w:szCs w:val="21"/>
              </w:rPr>
            </w:pPr>
            <w:r>
              <w:rPr>
                <w:rFonts w:hint="eastAsia" w:ascii="Times New Roman"/>
                <w:b/>
                <w:sz w:val="21"/>
                <w:szCs w:val="21"/>
              </w:rPr>
              <w:t>张娉;王社亮</w:t>
            </w:r>
            <w:r>
              <w:rPr>
                <w:rFonts w:hint="eastAsia" w:ascii="Times New Roman"/>
                <w:sz w:val="21"/>
                <w:szCs w:val="21"/>
              </w:rPr>
              <w:t>;毕小剑;李良县等人</w:t>
            </w:r>
          </w:p>
        </w:tc>
      </w:tr>
      <w:tr w14:paraId="1B3E7B2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5B475A5C">
            <w:pPr>
              <w:pStyle w:val="3"/>
              <w:spacing w:line="240" w:lineRule="auto"/>
              <w:ind w:firstLine="0" w:firstLineChars="0"/>
              <w:jc w:val="center"/>
              <w:rPr>
                <w:rFonts w:ascii="宋体" w:hAnsi="宋体"/>
                <w:sz w:val="21"/>
                <w:szCs w:val="21"/>
              </w:rPr>
            </w:pPr>
            <w:r>
              <w:rPr>
                <w:rFonts w:ascii="Times New Roman"/>
                <w:sz w:val="21"/>
                <w:szCs w:val="21"/>
              </w:rPr>
              <w:t>6</w:t>
            </w:r>
          </w:p>
        </w:tc>
        <w:tc>
          <w:tcPr>
            <w:tcW w:w="1145" w:type="dxa"/>
            <w:tcBorders>
              <w:top w:val="single" w:color="auto" w:sz="8" w:space="0"/>
              <w:left w:val="single" w:color="auto" w:sz="8" w:space="0"/>
              <w:bottom w:val="single" w:color="auto" w:sz="8" w:space="0"/>
              <w:right w:val="single" w:color="auto" w:sz="8" w:space="0"/>
            </w:tcBorders>
            <w:vAlign w:val="center"/>
          </w:tcPr>
          <w:p w14:paraId="5B625470">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664E356F">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多能互补发电系统电源容量配置优化方法及系统</w:t>
            </w:r>
          </w:p>
        </w:tc>
        <w:tc>
          <w:tcPr>
            <w:tcW w:w="812" w:type="dxa"/>
            <w:tcBorders>
              <w:top w:val="single" w:color="auto" w:sz="8" w:space="0"/>
              <w:left w:val="single" w:color="auto" w:sz="8" w:space="0"/>
              <w:bottom w:val="single" w:color="auto" w:sz="8" w:space="0"/>
              <w:right w:val="single" w:color="auto" w:sz="8" w:space="0"/>
            </w:tcBorders>
            <w:vAlign w:val="center"/>
          </w:tcPr>
          <w:p w14:paraId="6164E0FA">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7617C81C">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ZL</w:t>
            </w:r>
            <w:r>
              <w:rPr>
                <w:rFonts w:hint="eastAsia" w:ascii="Times New Roman"/>
                <w:sz w:val="21"/>
                <w:szCs w:val="21"/>
                <w:lang w:val="en-US" w:eastAsia="zh-CN"/>
              </w:rPr>
              <w:t xml:space="preserve"> </w:t>
            </w:r>
            <w:r>
              <w:rPr>
                <w:rFonts w:ascii="Times New Roman" w:hAnsi="Times New Roman"/>
                <w:sz w:val="21"/>
                <w:szCs w:val="21"/>
              </w:rPr>
              <w:t>2023</w:t>
            </w:r>
            <w:r>
              <w:rPr>
                <w:rFonts w:hint="eastAsia" w:ascii="Times New Roman"/>
                <w:sz w:val="21"/>
                <w:szCs w:val="21"/>
                <w:lang w:val="en-US" w:eastAsia="zh-CN"/>
              </w:rPr>
              <w:t xml:space="preserve"> </w:t>
            </w:r>
            <w:r>
              <w:rPr>
                <w:rFonts w:ascii="Times New Roman" w:hAnsi="Times New Roman"/>
                <w:sz w:val="21"/>
                <w:szCs w:val="21"/>
              </w:rPr>
              <w:t>1</w:t>
            </w:r>
            <w:r>
              <w:rPr>
                <w:rFonts w:hint="eastAsia" w:ascii="Times New Roman"/>
                <w:sz w:val="21"/>
                <w:szCs w:val="21"/>
                <w:lang w:val="en-US" w:eastAsia="zh-CN"/>
              </w:rPr>
              <w:t xml:space="preserve"> </w:t>
            </w:r>
            <w:r>
              <w:rPr>
                <w:rFonts w:ascii="Times New Roman" w:hAnsi="Times New Roman"/>
                <w:sz w:val="21"/>
                <w:szCs w:val="21"/>
              </w:rPr>
              <w:t>1167856.3</w:t>
            </w:r>
          </w:p>
        </w:tc>
        <w:tc>
          <w:tcPr>
            <w:tcW w:w="979" w:type="dxa"/>
            <w:tcBorders>
              <w:top w:val="single" w:color="auto" w:sz="8" w:space="0"/>
              <w:left w:val="single" w:color="auto" w:sz="8" w:space="0"/>
              <w:bottom w:val="single" w:color="auto" w:sz="8" w:space="0"/>
              <w:right w:val="single" w:color="auto" w:sz="8" w:space="0"/>
            </w:tcBorders>
            <w:vAlign w:val="center"/>
          </w:tcPr>
          <w:p w14:paraId="0964CC97">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2024.01.05</w:t>
            </w:r>
          </w:p>
        </w:tc>
        <w:tc>
          <w:tcPr>
            <w:tcW w:w="1059" w:type="dxa"/>
            <w:tcBorders>
              <w:top w:val="single" w:color="auto" w:sz="8" w:space="0"/>
              <w:left w:val="single" w:color="auto" w:sz="8" w:space="0"/>
              <w:bottom w:val="single" w:color="auto" w:sz="8" w:space="0"/>
              <w:right w:val="single" w:color="auto" w:sz="8" w:space="0"/>
            </w:tcBorders>
            <w:vAlign w:val="center"/>
          </w:tcPr>
          <w:p w14:paraId="7B097E6A">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6604174</w:t>
            </w:r>
          </w:p>
        </w:tc>
        <w:tc>
          <w:tcPr>
            <w:tcW w:w="1059" w:type="dxa"/>
            <w:tcBorders>
              <w:top w:val="single" w:color="auto" w:sz="8" w:space="0"/>
              <w:left w:val="single" w:color="auto" w:sz="8" w:space="0"/>
              <w:bottom w:val="single" w:color="auto" w:sz="8" w:space="0"/>
              <w:right w:val="single" w:color="auto" w:sz="8" w:space="0"/>
            </w:tcBorders>
            <w:vAlign w:val="center"/>
          </w:tcPr>
          <w:p w14:paraId="3643A63D">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中国电建集团西北勘测设计研究院有限公司</w:t>
            </w:r>
          </w:p>
        </w:tc>
        <w:tc>
          <w:tcPr>
            <w:tcW w:w="979" w:type="dxa"/>
            <w:tcBorders>
              <w:top w:val="single" w:color="auto" w:sz="8" w:space="0"/>
              <w:left w:val="single" w:color="auto" w:sz="8" w:space="0"/>
              <w:bottom w:val="single" w:color="auto" w:sz="8" w:space="0"/>
              <w:right w:val="single" w:color="auto" w:sz="8" w:space="0"/>
            </w:tcBorders>
            <w:vAlign w:val="center"/>
          </w:tcPr>
          <w:p w14:paraId="5C4D4435">
            <w:pPr>
              <w:pStyle w:val="3"/>
              <w:spacing w:line="240" w:lineRule="auto"/>
              <w:ind w:firstLine="0" w:firstLineChars="0"/>
              <w:jc w:val="center"/>
              <w:rPr>
                <w:rFonts w:ascii="宋体" w:hAnsi="宋体"/>
                <w:sz w:val="21"/>
                <w:szCs w:val="21"/>
              </w:rPr>
            </w:pPr>
            <w:r>
              <w:rPr>
                <w:rFonts w:hint="eastAsia" w:ascii="Times New Roman"/>
                <w:sz w:val="21"/>
                <w:szCs w:val="21"/>
              </w:rPr>
              <w:t>周恒;姜梦妍;董闯;</w:t>
            </w:r>
            <w:r>
              <w:rPr>
                <w:rFonts w:hint="eastAsia" w:ascii="Times New Roman"/>
                <w:b/>
                <w:sz w:val="21"/>
                <w:szCs w:val="21"/>
              </w:rPr>
              <w:t>王社亮;张娉</w:t>
            </w:r>
            <w:r>
              <w:rPr>
                <w:rFonts w:hint="eastAsia" w:ascii="Times New Roman"/>
                <w:sz w:val="21"/>
                <w:szCs w:val="21"/>
              </w:rPr>
              <w:t>;闫启明</w:t>
            </w:r>
          </w:p>
        </w:tc>
      </w:tr>
      <w:tr w14:paraId="5C87C6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4706343F">
            <w:pPr>
              <w:pStyle w:val="3"/>
              <w:spacing w:line="240" w:lineRule="auto"/>
              <w:ind w:firstLine="0" w:firstLineChars="0"/>
              <w:jc w:val="center"/>
              <w:rPr>
                <w:rFonts w:ascii="宋体" w:hAnsi="宋体"/>
                <w:sz w:val="21"/>
                <w:szCs w:val="21"/>
              </w:rPr>
            </w:pPr>
            <w:r>
              <w:rPr>
                <w:rFonts w:ascii="Times New Roman"/>
                <w:sz w:val="21"/>
                <w:szCs w:val="21"/>
              </w:rPr>
              <w:t>7</w:t>
            </w:r>
          </w:p>
        </w:tc>
        <w:tc>
          <w:tcPr>
            <w:tcW w:w="1145" w:type="dxa"/>
            <w:tcBorders>
              <w:top w:val="single" w:color="auto" w:sz="8" w:space="0"/>
              <w:left w:val="single" w:color="auto" w:sz="8" w:space="0"/>
              <w:bottom w:val="single" w:color="auto" w:sz="8" w:space="0"/>
              <w:right w:val="single" w:color="auto" w:sz="8" w:space="0"/>
            </w:tcBorders>
            <w:vAlign w:val="center"/>
          </w:tcPr>
          <w:p w14:paraId="540F2283">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标准规范</w:t>
            </w:r>
          </w:p>
        </w:tc>
        <w:tc>
          <w:tcPr>
            <w:tcW w:w="1310" w:type="dxa"/>
            <w:tcBorders>
              <w:top w:val="single" w:color="auto" w:sz="8" w:space="0"/>
              <w:left w:val="single" w:color="auto" w:sz="8" w:space="0"/>
              <w:bottom w:val="single" w:color="auto" w:sz="8" w:space="0"/>
              <w:right w:val="single" w:color="auto" w:sz="8" w:space="0"/>
            </w:tcBorders>
            <w:vAlign w:val="center"/>
          </w:tcPr>
          <w:p w14:paraId="63ABDC52">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水电工程水利计算规范</w:t>
            </w:r>
          </w:p>
        </w:tc>
        <w:tc>
          <w:tcPr>
            <w:tcW w:w="812" w:type="dxa"/>
            <w:tcBorders>
              <w:top w:val="single" w:color="auto" w:sz="8" w:space="0"/>
              <w:left w:val="single" w:color="auto" w:sz="8" w:space="0"/>
              <w:bottom w:val="single" w:color="auto" w:sz="8" w:space="0"/>
              <w:right w:val="single" w:color="auto" w:sz="8" w:space="0"/>
            </w:tcBorders>
            <w:vAlign w:val="center"/>
          </w:tcPr>
          <w:p w14:paraId="533022BC">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78B1642E">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NB/T 10083-2018</w:t>
            </w:r>
          </w:p>
        </w:tc>
        <w:tc>
          <w:tcPr>
            <w:tcW w:w="979" w:type="dxa"/>
            <w:tcBorders>
              <w:top w:val="single" w:color="auto" w:sz="8" w:space="0"/>
              <w:left w:val="single" w:color="auto" w:sz="8" w:space="0"/>
              <w:bottom w:val="single" w:color="auto" w:sz="8" w:space="0"/>
              <w:right w:val="single" w:color="auto" w:sz="8" w:space="0"/>
            </w:tcBorders>
            <w:vAlign w:val="center"/>
          </w:tcPr>
          <w:p w14:paraId="485D2967">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2019.03.01</w:t>
            </w:r>
          </w:p>
        </w:tc>
        <w:tc>
          <w:tcPr>
            <w:tcW w:w="1059" w:type="dxa"/>
            <w:tcBorders>
              <w:top w:val="single" w:color="auto" w:sz="8" w:space="0"/>
              <w:left w:val="single" w:color="auto" w:sz="8" w:space="0"/>
              <w:bottom w:val="single" w:color="auto" w:sz="8" w:space="0"/>
              <w:right w:val="single" w:color="auto" w:sz="8" w:space="0"/>
            </w:tcBorders>
            <w:vAlign w:val="center"/>
          </w:tcPr>
          <w:p w14:paraId="390A3573">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国家能源局</w:t>
            </w:r>
          </w:p>
        </w:tc>
        <w:tc>
          <w:tcPr>
            <w:tcW w:w="1059" w:type="dxa"/>
            <w:tcBorders>
              <w:top w:val="single" w:color="auto" w:sz="8" w:space="0"/>
              <w:left w:val="single" w:color="auto" w:sz="8" w:space="0"/>
              <w:bottom w:val="single" w:color="auto" w:sz="8" w:space="0"/>
              <w:right w:val="single" w:color="auto" w:sz="8" w:space="0"/>
            </w:tcBorders>
            <w:vAlign w:val="center"/>
          </w:tcPr>
          <w:p w14:paraId="57B15F3B">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中国电建集团西北勘测设计研究院有限公司</w:t>
            </w:r>
          </w:p>
        </w:tc>
        <w:tc>
          <w:tcPr>
            <w:tcW w:w="979" w:type="dxa"/>
            <w:tcBorders>
              <w:top w:val="single" w:color="auto" w:sz="8" w:space="0"/>
              <w:left w:val="single" w:color="auto" w:sz="8" w:space="0"/>
              <w:bottom w:val="single" w:color="auto" w:sz="8" w:space="0"/>
              <w:right w:val="single" w:color="auto" w:sz="8" w:space="0"/>
            </w:tcBorders>
            <w:vAlign w:val="center"/>
          </w:tcPr>
          <w:p w14:paraId="4A9F4E33">
            <w:pPr>
              <w:pStyle w:val="3"/>
              <w:spacing w:line="240" w:lineRule="auto"/>
              <w:ind w:firstLine="0" w:firstLineChars="0"/>
              <w:jc w:val="center"/>
              <w:rPr>
                <w:rFonts w:ascii="宋体" w:hAnsi="宋体"/>
                <w:sz w:val="21"/>
                <w:szCs w:val="21"/>
              </w:rPr>
            </w:pPr>
            <w:r>
              <w:rPr>
                <w:sz w:val="21"/>
                <w:szCs w:val="21"/>
              </w:rPr>
              <w:t>李平</w:t>
            </w:r>
            <w:r>
              <w:rPr>
                <w:rFonts w:hint="eastAsia"/>
                <w:sz w:val="21"/>
                <w:szCs w:val="21"/>
              </w:rPr>
              <w:t>;</w:t>
            </w:r>
            <w:r>
              <w:rPr>
                <w:sz w:val="21"/>
                <w:szCs w:val="21"/>
              </w:rPr>
              <w:t>冯黎</w:t>
            </w:r>
            <w:r>
              <w:rPr>
                <w:rFonts w:hint="eastAsia"/>
                <w:sz w:val="21"/>
                <w:szCs w:val="21"/>
              </w:rPr>
              <w:t>;</w:t>
            </w:r>
            <w:r>
              <w:rPr>
                <w:b/>
                <w:sz w:val="21"/>
                <w:szCs w:val="21"/>
              </w:rPr>
              <w:t>王社亮</w:t>
            </w:r>
            <w:r>
              <w:rPr>
                <w:rFonts w:hint="eastAsia"/>
                <w:sz w:val="21"/>
                <w:szCs w:val="21"/>
              </w:rPr>
              <w:t>;</w:t>
            </w:r>
            <w:r>
              <w:rPr>
                <w:sz w:val="21"/>
                <w:szCs w:val="21"/>
              </w:rPr>
              <w:t>王飞</w:t>
            </w:r>
            <w:r>
              <w:rPr>
                <w:rFonts w:hint="eastAsia"/>
                <w:sz w:val="21"/>
                <w:szCs w:val="21"/>
              </w:rPr>
              <w:t>;</w:t>
            </w:r>
            <w:r>
              <w:rPr>
                <w:sz w:val="21"/>
                <w:szCs w:val="21"/>
              </w:rPr>
              <w:t>周铁柱</w:t>
            </w:r>
            <w:r>
              <w:rPr>
                <w:rFonts w:hint="eastAsia"/>
                <w:sz w:val="21"/>
                <w:szCs w:val="21"/>
              </w:rPr>
              <w:t>;</w:t>
            </w:r>
            <w:r>
              <w:rPr>
                <w:sz w:val="21"/>
                <w:szCs w:val="21"/>
              </w:rPr>
              <w:t>宋臻</w:t>
            </w:r>
            <w:r>
              <w:rPr>
                <w:rFonts w:hint="eastAsia"/>
                <w:sz w:val="21"/>
                <w:szCs w:val="21"/>
              </w:rPr>
              <w:t>;</w:t>
            </w:r>
            <w:r>
              <w:rPr>
                <w:b/>
                <w:sz w:val="21"/>
                <w:szCs w:val="21"/>
              </w:rPr>
              <w:t>张娉</w:t>
            </w:r>
            <w:r>
              <w:rPr>
                <w:rFonts w:hint="eastAsia"/>
                <w:sz w:val="21"/>
                <w:szCs w:val="21"/>
              </w:rPr>
              <w:t>;等人</w:t>
            </w:r>
          </w:p>
        </w:tc>
      </w:tr>
      <w:tr w14:paraId="61515B6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5FD16401">
            <w:pPr>
              <w:pStyle w:val="3"/>
              <w:spacing w:line="240" w:lineRule="auto"/>
              <w:ind w:firstLine="0" w:firstLineChars="0"/>
              <w:jc w:val="center"/>
              <w:rPr>
                <w:rFonts w:ascii="宋体" w:hAnsi="宋体"/>
                <w:sz w:val="21"/>
                <w:szCs w:val="21"/>
              </w:rPr>
            </w:pPr>
            <w:r>
              <w:rPr>
                <w:rFonts w:ascii="Times New Roman"/>
                <w:sz w:val="21"/>
                <w:szCs w:val="21"/>
              </w:rPr>
              <w:t>8</w:t>
            </w:r>
          </w:p>
        </w:tc>
        <w:tc>
          <w:tcPr>
            <w:tcW w:w="1145" w:type="dxa"/>
            <w:tcBorders>
              <w:top w:val="single" w:color="auto" w:sz="8" w:space="0"/>
              <w:left w:val="single" w:color="auto" w:sz="8" w:space="0"/>
              <w:bottom w:val="single" w:color="auto" w:sz="8" w:space="0"/>
              <w:right w:val="single" w:color="auto" w:sz="8" w:space="0"/>
            </w:tcBorders>
            <w:vAlign w:val="center"/>
          </w:tcPr>
          <w:p w14:paraId="7EF6571F">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4B793B85">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一种抽水蓄能电站的抽水转发电的控制方法及系统</w:t>
            </w:r>
          </w:p>
        </w:tc>
        <w:tc>
          <w:tcPr>
            <w:tcW w:w="812" w:type="dxa"/>
            <w:tcBorders>
              <w:top w:val="single" w:color="auto" w:sz="8" w:space="0"/>
              <w:left w:val="single" w:color="auto" w:sz="8" w:space="0"/>
              <w:bottom w:val="single" w:color="auto" w:sz="8" w:space="0"/>
              <w:right w:val="single" w:color="auto" w:sz="8" w:space="0"/>
            </w:tcBorders>
            <w:vAlign w:val="center"/>
          </w:tcPr>
          <w:p w14:paraId="04ED2F84">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69F89B8C">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ZL 2025 1 0926437.6</w:t>
            </w:r>
          </w:p>
          <w:p w14:paraId="1A449866">
            <w:pPr>
              <w:pStyle w:val="3"/>
              <w:spacing w:line="240" w:lineRule="auto"/>
              <w:ind w:firstLine="0" w:firstLineChars="0"/>
              <w:jc w:val="center"/>
              <w:rPr>
                <w:rFonts w:ascii="Times New Roman" w:hAnsi="Times New Roman"/>
                <w:sz w:val="21"/>
                <w:szCs w:val="21"/>
              </w:rPr>
            </w:pPr>
          </w:p>
        </w:tc>
        <w:tc>
          <w:tcPr>
            <w:tcW w:w="979" w:type="dxa"/>
            <w:tcBorders>
              <w:top w:val="single" w:color="auto" w:sz="8" w:space="0"/>
              <w:left w:val="single" w:color="auto" w:sz="8" w:space="0"/>
              <w:bottom w:val="single" w:color="auto" w:sz="8" w:space="0"/>
              <w:right w:val="single" w:color="auto" w:sz="8" w:space="0"/>
            </w:tcBorders>
            <w:vAlign w:val="center"/>
          </w:tcPr>
          <w:p w14:paraId="5497326E">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2025.09.05</w:t>
            </w:r>
          </w:p>
        </w:tc>
        <w:tc>
          <w:tcPr>
            <w:tcW w:w="1059" w:type="dxa"/>
            <w:tcBorders>
              <w:top w:val="single" w:color="auto" w:sz="8" w:space="0"/>
              <w:left w:val="single" w:color="auto" w:sz="8" w:space="0"/>
              <w:bottom w:val="single" w:color="auto" w:sz="8" w:space="0"/>
              <w:right w:val="single" w:color="auto" w:sz="8" w:space="0"/>
            </w:tcBorders>
            <w:vAlign w:val="center"/>
          </w:tcPr>
          <w:p w14:paraId="47769AB3">
            <w:pPr>
              <w:pStyle w:val="3"/>
              <w:spacing w:line="240" w:lineRule="auto"/>
              <w:ind w:firstLine="0" w:firstLineChars="0"/>
              <w:jc w:val="center"/>
              <w:rPr>
                <w:rFonts w:ascii="Times New Roman" w:hAnsi="Times New Roman"/>
                <w:sz w:val="21"/>
                <w:szCs w:val="21"/>
              </w:rPr>
            </w:pPr>
            <w:r>
              <w:rPr>
                <w:rFonts w:ascii="Times New Roman" w:hAnsi="Times New Roman"/>
                <w:sz w:val="21"/>
                <w:szCs w:val="21"/>
                <w:lang w:val="en-US" w:eastAsia="zh-CN"/>
              </w:rPr>
              <w:t>8225541</w:t>
            </w:r>
          </w:p>
        </w:tc>
        <w:tc>
          <w:tcPr>
            <w:tcW w:w="1059" w:type="dxa"/>
            <w:tcBorders>
              <w:top w:val="single" w:color="auto" w:sz="8" w:space="0"/>
              <w:left w:val="single" w:color="auto" w:sz="8" w:space="0"/>
              <w:bottom w:val="single" w:color="auto" w:sz="8" w:space="0"/>
              <w:right w:val="single" w:color="auto" w:sz="8" w:space="0"/>
            </w:tcBorders>
            <w:vAlign w:val="center"/>
          </w:tcPr>
          <w:p w14:paraId="2C199EB8">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西北农林科技大学</w:t>
            </w:r>
          </w:p>
        </w:tc>
        <w:tc>
          <w:tcPr>
            <w:tcW w:w="979" w:type="dxa"/>
            <w:tcBorders>
              <w:top w:val="single" w:color="auto" w:sz="8" w:space="0"/>
              <w:left w:val="single" w:color="auto" w:sz="8" w:space="0"/>
              <w:bottom w:val="single" w:color="auto" w:sz="8" w:space="0"/>
              <w:right w:val="single" w:color="auto" w:sz="8" w:space="0"/>
            </w:tcBorders>
            <w:vAlign w:val="center"/>
          </w:tcPr>
          <w:p w14:paraId="6DEABC94">
            <w:pPr>
              <w:pStyle w:val="3"/>
              <w:spacing w:line="240" w:lineRule="auto"/>
              <w:ind w:firstLine="0" w:firstLineChars="0"/>
              <w:jc w:val="center"/>
              <w:rPr>
                <w:rFonts w:ascii="宋体" w:hAnsi="宋体"/>
                <w:sz w:val="21"/>
                <w:szCs w:val="21"/>
              </w:rPr>
            </w:pPr>
            <w:r>
              <w:rPr>
                <w:rFonts w:hint="eastAsia" w:ascii="Times New Roman"/>
                <w:b/>
                <w:sz w:val="21"/>
                <w:szCs w:val="21"/>
                <w:lang w:val="en-US" w:eastAsia="zh-CN"/>
              </w:rPr>
              <w:t>赵子文</w:t>
            </w:r>
            <w:r>
              <w:rPr>
                <w:rFonts w:ascii="宋体" w:hAnsi="宋体" w:eastAsia="宋体" w:cs="宋体"/>
                <w:kern w:val="0"/>
                <w:sz w:val="21"/>
                <w:szCs w:val="21"/>
                <w:lang w:val="en-US" w:eastAsia="zh-CN" w:bidi="ar"/>
              </w:rPr>
              <w:t>；雷刘</w:t>
            </w:r>
            <w:r>
              <w:rPr>
                <w:rFonts w:hint="eastAsia" w:ascii="宋体" w:hAnsi="宋体" w:cs="宋体"/>
                <w:kern w:val="0"/>
                <w:sz w:val="21"/>
                <w:szCs w:val="21"/>
                <w:lang w:val="en-US" w:eastAsia="zh-CN" w:bidi="ar"/>
              </w:rPr>
              <w:t>伟</w:t>
            </w:r>
            <w:r>
              <w:rPr>
                <w:rFonts w:ascii="宋体" w:hAnsi="宋体" w:eastAsia="宋体" w:cs="宋体"/>
                <w:kern w:val="0"/>
                <w:sz w:val="21"/>
                <w:szCs w:val="21"/>
                <w:lang w:val="en-US" w:eastAsia="zh-CN" w:bidi="ar"/>
              </w:rPr>
              <w:t>；胡华明；薛人玮</w:t>
            </w:r>
          </w:p>
        </w:tc>
      </w:tr>
      <w:tr w14:paraId="52BC3F7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092C259C">
            <w:pPr>
              <w:pStyle w:val="3"/>
              <w:spacing w:line="240" w:lineRule="auto"/>
              <w:ind w:firstLine="0" w:firstLineChars="0"/>
              <w:jc w:val="center"/>
              <w:rPr>
                <w:rFonts w:ascii="宋体" w:hAnsi="宋体"/>
                <w:sz w:val="21"/>
                <w:szCs w:val="21"/>
              </w:rPr>
            </w:pPr>
            <w:r>
              <w:rPr>
                <w:rFonts w:hint="eastAsia" w:ascii="Times New Roman"/>
                <w:sz w:val="21"/>
                <w:szCs w:val="21"/>
              </w:rPr>
              <w:t>9</w:t>
            </w:r>
          </w:p>
        </w:tc>
        <w:tc>
          <w:tcPr>
            <w:tcW w:w="1145" w:type="dxa"/>
            <w:tcBorders>
              <w:top w:val="single" w:color="auto" w:sz="8" w:space="0"/>
              <w:left w:val="single" w:color="auto" w:sz="8" w:space="0"/>
              <w:bottom w:val="single" w:color="auto" w:sz="8" w:space="0"/>
              <w:right w:val="single" w:color="auto" w:sz="8" w:space="0"/>
            </w:tcBorders>
            <w:vAlign w:val="center"/>
          </w:tcPr>
          <w:p w14:paraId="7DAB8512">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发明专利</w:t>
            </w:r>
          </w:p>
        </w:tc>
        <w:tc>
          <w:tcPr>
            <w:tcW w:w="1310" w:type="dxa"/>
            <w:tcBorders>
              <w:top w:val="single" w:color="auto" w:sz="8" w:space="0"/>
              <w:left w:val="single" w:color="auto" w:sz="8" w:space="0"/>
              <w:bottom w:val="single" w:color="auto" w:sz="8" w:space="0"/>
              <w:right w:val="single" w:color="auto" w:sz="8" w:space="0"/>
            </w:tcBorders>
            <w:vAlign w:val="center"/>
          </w:tcPr>
          <w:p w14:paraId="381CF49B">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一种时滞水轮机调节系统的非线性自抗扰控制方法及结构</w:t>
            </w:r>
          </w:p>
        </w:tc>
        <w:tc>
          <w:tcPr>
            <w:tcW w:w="812" w:type="dxa"/>
            <w:tcBorders>
              <w:top w:val="single" w:color="auto" w:sz="8" w:space="0"/>
              <w:left w:val="single" w:color="auto" w:sz="8" w:space="0"/>
              <w:bottom w:val="single" w:color="auto" w:sz="8" w:space="0"/>
              <w:right w:val="single" w:color="auto" w:sz="8" w:space="0"/>
            </w:tcBorders>
            <w:vAlign w:val="center"/>
          </w:tcPr>
          <w:p w14:paraId="49E0BBE5">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4D951502">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ZL 2022 1 0947142.3</w:t>
            </w:r>
          </w:p>
        </w:tc>
        <w:tc>
          <w:tcPr>
            <w:tcW w:w="979" w:type="dxa"/>
            <w:tcBorders>
              <w:top w:val="single" w:color="auto" w:sz="8" w:space="0"/>
              <w:left w:val="single" w:color="auto" w:sz="8" w:space="0"/>
              <w:bottom w:val="single" w:color="auto" w:sz="8" w:space="0"/>
              <w:right w:val="single" w:color="auto" w:sz="8" w:space="0"/>
            </w:tcBorders>
            <w:vAlign w:val="center"/>
          </w:tcPr>
          <w:p w14:paraId="6B53DF3E">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2</w:t>
            </w:r>
            <w:r>
              <w:rPr>
                <w:rFonts w:ascii="Times New Roman" w:hAnsi="Times New Roman"/>
                <w:sz w:val="21"/>
                <w:szCs w:val="21"/>
              </w:rPr>
              <w:t>024.11.29</w:t>
            </w:r>
          </w:p>
        </w:tc>
        <w:tc>
          <w:tcPr>
            <w:tcW w:w="1059" w:type="dxa"/>
            <w:tcBorders>
              <w:top w:val="single" w:color="auto" w:sz="8" w:space="0"/>
              <w:left w:val="single" w:color="auto" w:sz="8" w:space="0"/>
              <w:bottom w:val="single" w:color="auto" w:sz="8" w:space="0"/>
              <w:right w:val="single" w:color="auto" w:sz="8" w:space="0"/>
            </w:tcBorders>
            <w:vAlign w:val="center"/>
          </w:tcPr>
          <w:p w14:paraId="0BA82E7C">
            <w:pPr>
              <w:pStyle w:val="3"/>
              <w:spacing w:line="240" w:lineRule="auto"/>
              <w:ind w:firstLine="0" w:firstLineChars="0"/>
              <w:jc w:val="center"/>
              <w:rPr>
                <w:rFonts w:ascii="Times New Roman" w:hAnsi="Times New Roman"/>
                <w:sz w:val="21"/>
                <w:szCs w:val="21"/>
              </w:rPr>
            </w:pPr>
            <w:r>
              <w:rPr>
                <w:rFonts w:ascii="Times New Roman" w:hAnsi="Times New Roman"/>
                <w:sz w:val="21"/>
                <w:szCs w:val="21"/>
              </w:rPr>
              <w:t>7567245</w:t>
            </w:r>
          </w:p>
        </w:tc>
        <w:tc>
          <w:tcPr>
            <w:tcW w:w="1059" w:type="dxa"/>
            <w:tcBorders>
              <w:top w:val="single" w:color="auto" w:sz="8" w:space="0"/>
              <w:left w:val="single" w:color="auto" w:sz="8" w:space="0"/>
              <w:bottom w:val="single" w:color="auto" w:sz="8" w:space="0"/>
              <w:right w:val="single" w:color="auto" w:sz="8" w:space="0"/>
            </w:tcBorders>
            <w:vAlign w:val="center"/>
          </w:tcPr>
          <w:p w14:paraId="40C1FE0F">
            <w:pPr>
              <w:pStyle w:val="3"/>
              <w:spacing w:line="240" w:lineRule="auto"/>
              <w:ind w:firstLine="0" w:firstLineChars="0"/>
              <w:jc w:val="center"/>
              <w:rPr>
                <w:rFonts w:ascii="Times New Roman" w:hAnsi="Times New Roman"/>
                <w:sz w:val="21"/>
                <w:szCs w:val="21"/>
              </w:rPr>
            </w:pPr>
            <w:r>
              <w:rPr>
                <w:rFonts w:hint="eastAsia" w:ascii="Times New Roman" w:hAnsi="Times New Roman"/>
                <w:sz w:val="21"/>
                <w:szCs w:val="21"/>
              </w:rPr>
              <w:t>西北农林科技大学</w:t>
            </w:r>
          </w:p>
          <w:p w14:paraId="559D7556">
            <w:pPr>
              <w:pStyle w:val="3"/>
              <w:spacing w:line="240" w:lineRule="auto"/>
              <w:ind w:firstLine="0" w:firstLineChars="0"/>
              <w:jc w:val="center"/>
              <w:rPr>
                <w:rFonts w:ascii="Times New Roman" w:hAnsi="Times New Roman"/>
                <w:sz w:val="21"/>
                <w:szCs w:val="21"/>
              </w:rPr>
            </w:pPr>
          </w:p>
        </w:tc>
        <w:tc>
          <w:tcPr>
            <w:tcW w:w="979" w:type="dxa"/>
            <w:tcBorders>
              <w:top w:val="single" w:color="auto" w:sz="8" w:space="0"/>
              <w:left w:val="single" w:color="auto" w:sz="8" w:space="0"/>
              <w:bottom w:val="single" w:color="auto" w:sz="8" w:space="0"/>
              <w:right w:val="single" w:color="auto" w:sz="8" w:space="0"/>
            </w:tcBorders>
            <w:vAlign w:val="center"/>
          </w:tcPr>
          <w:p w14:paraId="3D752940">
            <w:pPr>
              <w:pStyle w:val="3"/>
              <w:spacing w:line="240" w:lineRule="auto"/>
              <w:ind w:firstLine="0" w:firstLineChars="0"/>
              <w:jc w:val="center"/>
              <w:rPr>
                <w:rFonts w:ascii="宋体" w:hAnsi="宋体"/>
                <w:sz w:val="21"/>
                <w:szCs w:val="21"/>
              </w:rPr>
            </w:pPr>
            <w:r>
              <w:rPr>
                <w:rFonts w:hint="eastAsia" w:ascii="Times New Roman"/>
                <w:sz w:val="21"/>
                <w:szCs w:val="21"/>
              </w:rPr>
              <w:t>王斌;艾博;吴凤娇;</w:t>
            </w:r>
            <w:r>
              <w:rPr>
                <w:rFonts w:hint="eastAsia" w:ascii="Times New Roman"/>
                <w:b/>
                <w:sz w:val="21"/>
                <w:szCs w:val="21"/>
              </w:rPr>
              <w:t>陈帝伊</w:t>
            </w:r>
            <w:r>
              <w:rPr>
                <w:rFonts w:hint="eastAsia" w:ascii="Times New Roman"/>
                <w:sz w:val="21"/>
                <w:szCs w:val="21"/>
              </w:rPr>
              <w:t>;周东东;张晓东</w:t>
            </w:r>
          </w:p>
        </w:tc>
      </w:tr>
      <w:tr w14:paraId="57DBCF9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7" w:hRule="atLeast"/>
          <w:jc w:val="center"/>
        </w:trPr>
        <w:tc>
          <w:tcPr>
            <w:tcW w:w="544" w:type="dxa"/>
            <w:tcBorders>
              <w:top w:val="single" w:color="auto" w:sz="8" w:space="0"/>
              <w:left w:val="single" w:color="auto" w:sz="8" w:space="0"/>
              <w:bottom w:val="single" w:color="auto" w:sz="8" w:space="0"/>
              <w:right w:val="single" w:color="auto" w:sz="8" w:space="0"/>
            </w:tcBorders>
            <w:vAlign w:val="center"/>
          </w:tcPr>
          <w:p w14:paraId="1ADB6916">
            <w:pPr>
              <w:pStyle w:val="3"/>
              <w:spacing w:line="240" w:lineRule="auto"/>
              <w:ind w:firstLine="0" w:firstLineChars="0"/>
              <w:jc w:val="center"/>
              <w:rPr>
                <w:rFonts w:ascii="宋体" w:hAnsi="宋体"/>
                <w:sz w:val="21"/>
                <w:szCs w:val="21"/>
              </w:rPr>
            </w:pPr>
            <w:r>
              <w:rPr>
                <w:rFonts w:ascii="Times New Roman"/>
                <w:sz w:val="21"/>
                <w:szCs w:val="21"/>
              </w:rPr>
              <w:t>10</w:t>
            </w:r>
          </w:p>
        </w:tc>
        <w:tc>
          <w:tcPr>
            <w:tcW w:w="1145" w:type="dxa"/>
            <w:tcBorders>
              <w:top w:val="single" w:color="auto" w:sz="8" w:space="0"/>
              <w:left w:val="single" w:color="auto" w:sz="8" w:space="0"/>
              <w:bottom w:val="single" w:color="auto" w:sz="8" w:space="0"/>
              <w:right w:val="single" w:color="auto" w:sz="8" w:space="0"/>
            </w:tcBorders>
            <w:vAlign w:val="center"/>
          </w:tcPr>
          <w:p w14:paraId="6E5B34F3">
            <w:pPr>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论文</w:t>
            </w:r>
          </w:p>
        </w:tc>
        <w:tc>
          <w:tcPr>
            <w:tcW w:w="1310" w:type="dxa"/>
            <w:tcBorders>
              <w:top w:val="single" w:color="auto" w:sz="8" w:space="0"/>
              <w:left w:val="single" w:color="auto" w:sz="8" w:space="0"/>
              <w:bottom w:val="single" w:color="auto" w:sz="8" w:space="0"/>
              <w:right w:val="single" w:color="auto" w:sz="8" w:space="0"/>
            </w:tcBorders>
            <w:vAlign w:val="center"/>
          </w:tcPr>
          <w:p w14:paraId="3C0B44D1">
            <w:pPr>
              <w:pStyle w:val="3"/>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考虑避振条件的水风光互补发电系统运行经济性评估</w:t>
            </w:r>
          </w:p>
        </w:tc>
        <w:tc>
          <w:tcPr>
            <w:tcW w:w="812" w:type="dxa"/>
            <w:tcBorders>
              <w:top w:val="single" w:color="auto" w:sz="8" w:space="0"/>
              <w:left w:val="single" w:color="auto" w:sz="8" w:space="0"/>
              <w:bottom w:val="single" w:color="auto" w:sz="8" w:space="0"/>
              <w:right w:val="single" w:color="auto" w:sz="8" w:space="0"/>
            </w:tcBorders>
            <w:vAlign w:val="center"/>
          </w:tcPr>
          <w:p w14:paraId="175BC731">
            <w:pPr>
              <w:pStyle w:val="3"/>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中国</w:t>
            </w:r>
          </w:p>
        </w:tc>
        <w:tc>
          <w:tcPr>
            <w:tcW w:w="1059" w:type="dxa"/>
            <w:tcBorders>
              <w:top w:val="single" w:color="auto" w:sz="8" w:space="0"/>
              <w:left w:val="single" w:color="auto" w:sz="8" w:space="0"/>
              <w:bottom w:val="single" w:color="auto" w:sz="8" w:space="0"/>
              <w:right w:val="single" w:color="auto" w:sz="8" w:space="0"/>
            </w:tcBorders>
            <w:vAlign w:val="center"/>
          </w:tcPr>
          <w:p w14:paraId="2CC8950C">
            <w:pPr>
              <w:pStyle w:val="3"/>
              <w:spacing w:line="240" w:lineRule="auto"/>
              <w:ind w:firstLine="0" w:firstLineChars="0"/>
              <w:jc w:val="center"/>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EI</w:t>
            </w:r>
          </w:p>
          <w:p w14:paraId="23AD226A">
            <w:pPr>
              <w:pStyle w:val="3"/>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《水利学报》2024年第4期：403—415</w:t>
            </w:r>
          </w:p>
        </w:tc>
        <w:tc>
          <w:tcPr>
            <w:tcW w:w="979" w:type="dxa"/>
            <w:tcBorders>
              <w:top w:val="single" w:color="auto" w:sz="8" w:space="0"/>
              <w:left w:val="single" w:color="auto" w:sz="8" w:space="0"/>
              <w:bottom w:val="single" w:color="auto" w:sz="8" w:space="0"/>
              <w:right w:val="single" w:color="auto" w:sz="8" w:space="0"/>
            </w:tcBorders>
            <w:vAlign w:val="center"/>
          </w:tcPr>
          <w:p w14:paraId="7E2F45A0">
            <w:pPr>
              <w:pStyle w:val="3"/>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2024</w:t>
            </w:r>
          </w:p>
        </w:tc>
        <w:tc>
          <w:tcPr>
            <w:tcW w:w="1059" w:type="dxa"/>
            <w:tcBorders>
              <w:top w:val="single" w:color="auto" w:sz="8" w:space="0"/>
              <w:left w:val="single" w:color="auto" w:sz="8" w:space="0"/>
              <w:bottom w:val="single" w:color="auto" w:sz="8" w:space="0"/>
              <w:right w:val="single" w:color="auto" w:sz="8" w:space="0"/>
            </w:tcBorders>
            <w:vAlign w:val="center"/>
          </w:tcPr>
          <w:p w14:paraId="768EF7EB">
            <w:pPr>
              <w:pStyle w:val="3"/>
              <w:spacing w:line="240" w:lineRule="auto"/>
              <w:ind w:firstLine="0" w:firstLineChars="0"/>
              <w:jc w:val="center"/>
              <w:rPr>
                <w:rFonts w:ascii="Times New Roman" w:hAnsi="Times New Roman" w:eastAsia="宋体" w:cs="Times New Roman"/>
                <w:kern w:val="2"/>
                <w:sz w:val="21"/>
                <w:szCs w:val="21"/>
                <w:highlight w:val="none"/>
                <w:lang w:val="en-US" w:eastAsia="zh-CN" w:bidi="ar-SA"/>
              </w:rPr>
            </w:pPr>
            <w:r>
              <w:rPr>
                <w:rFonts w:ascii="Times New Roman" w:hAnsi="Times New Roman" w:eastAsia="宋体" w:cs="Times New Roman"/>
                <w:kern w:val="2"/>
                <w:sz w:val="21"/>
                <w:szCs w:val="21"/>
                <w:highlight w:val="none"/>
                <w:lang w:val="en-US" w:eastAsia="zh-CN" w:bidi="ar-SA"/>
              </w:rPr>
              <w:t>124739</w:t>
            </w:r>
          </w:p>
        </w:tc>
        <w:tc>
          <w:tcPr>
            <w:tcW w:w="1059" w:type="dxa"/>
            <w:tcBorders>
              <w:top w:val="single" w:color="auto" w:sz="8" w:space="0"/>
              <w:left w:val="single" w:color="auto" w:sz="8" w:space="0"/>
              <w:bottom w:val="single" w:color="auto" w:sz="8" w:space="0"/>
              <w:right w:val="single" w:color="auto" w:sz="8" w:space="0"/>
            </w:tcBorders>
            <w:vAlign w:val="center"/>
          </w:tcPr>
          <w:p w14:paraId="65C9E8AE">
            <w:pPr>
              <w:jc w:val="center"/>
              <w:rPr>
                <w:rFonts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西北农林科技大学</w:t>
            </w:r>
          </w:p>
        </w:tc>
        <w:tc>
          <w:tcPr>
            <w:tcW w:w="979" w:type="dxa"/>
            <w:tcBorders>
              <w:top w:val="single" w:color="auto" w:sz="8" w:space="0"/>
              <w:left w:val="single" w:color="auto" w:sz="8" w:space="0"/>
              <w:bottom w:val="single" w:color="auto" w:sz="8" w:space="0"/>
              <w:right w:val="single" w:color="auto" w:sz="8" w:space="0"/>
            </w:tcBorders>
            <w:vAlign w:val="center"/>
          </w:tcPr>
          <w:p w14:paraId="6FCB9D59">
            <w:pPr>
              <w:pStyle w:val="3"/>
              <w:spacing w:line="240" w:lineRule="auto"/>
              <w:ind w:firstLine="0" w:firstLineChars="0"/>
              <w:jc w:val="center"/>
              <w:rPr>
                <w:rFonts w:hint="eastAsia" w:ascii="Times New Roman"/>
                <w:sz w:val="21"/>
                <w:szCs w:val="21"/>
                <w:highlight w:val="none"/>
              </w:rPr>
            </w:pPr>
            <w:r>
              <w:rPr>
                <w:rFonts w:hint="eastAsia" w:ascii="Times New Roman"/>
                <w:b/>
                <w:sz w:val="21"/>
                <w:szCs w:val="21"/>
                <w:highlight w:val="none"/>
                <w:lang w:val="en-US" w:eastAsia="zh-CN"/>
              </w:rPr>
              <w:t>陈帝伊</w:t>
            </w:r>
            <w:r>
              <w:rPr>
                <w:rFonts w:hint="eastAsia" w:ascii="Times New Roman"/>
                <w:sz w:val="21"/>
                <w:szCs w:val="21"/>
                <w:highlight w:val="none"/>
                <w:lang w:val="en-US" w:eastAsia="zh-CN"/>
              </w:rPr>
              <w:t>；张猛；刘泳；赵鹏翀；</w:t>
            </w:r>
            <w:r>
              <w:rPr>
                <w:rFonts w:hint="eastAsia" w:ascii="Times New Roman"/>
                <w:b/>
                <w:sz w:val="21"/>
                <w:szCs w:val="21"/>
                <w:highlight w:val="none"/>
                <w:lang w:val="en-US" w:eastAsia="zh-CN"/>
              </w:rPr>
              <w:t>赵子文；</w:t>
            </w:r>
            <w:r>
              <w:rPr>
                <w:rFonts w:hint="eastAsia" w:ascii="Times New Roman"/>
                <w:sz w:val="21"/>
                <w:szCs w:val="21"/>
                <w:highlight w:val="none"/>
                <w:lang w:val="en-US" w:eastAsia="zh-CN"/>
              </w:rPr>
              <w:t>何梦娇</w:t>
            </w:r>
          </w:p>
          <w:p w14:paraId="7C4D2579">
            <w:pPr>
              <w:pStyle w:val="3"/>
              <w:spacing w:line="240" w:lineRule="auto"/>
              <w:ind w:firstLine="0" w:firstLineChars="0"/>
              <w:jc w:val="center"/>
              <w:rPr>
                <w:rFonts w:ascii="宋体" w:hAnsi="宋体"/>
                <w:sz w:val="21"/>
                <w:szCs w:val="21"/>
                <w:highlight w:val="none"/>
              </w:rPr>
            </w:pPr>
          </w:p>
        </w:tc>
      </w:tr>
    </w:tbl>
    <w:p w14:paraId="2242F460">
      <w:pPr>
        <w:pStyle w:val="3"/>
        <w:spacing w:line="240" w:lineRule="auto"/>
        <w:ind w:firstLine="0" w:firstLineChars="0"/>
        <w:jc w:val="left"/>
        <w:rPr>
          <w:rFonts w:ascii="宋体" w:hAnsi="宋体"/>
          <w:bCs/>
          <w:color w:val="0D0D0D"/>
          <w:szCs w:val="24"/>
        </w:rPr>
      </w:pPr>
      <w:r>
        <w:rPr>
          <w:rFonts w:hint="eastAsia" w:ascii="宋体" w:hAnsi="宋体"/>
          <w:bCs/>
          <w:color w:val="0D0D0D"/>
          <w:szCs w:val="24"/>
        </w:rPr>
        <w:t>七、</w:t>
      </w:r>
      <w:r>
        <w:rPr>
          <w:rFonts w:ascii="宋体" w:hAnsi="宋体"/>
          <w:bCs/>
          <w:color w:val="0D0D0D"/>
          <w:szCs w:val="24"/>
        </w:rPr>
        <w:t>主要</w:t>
      </w:r>
      <w:r>
        <w:rPr>
          <w:rFonts w:hint="eastAsia" w:ascii="宋体" w:hAnsi="宋体"/>
          <w:bCs/>
          <w:color w:val="0D0D0D"/>
          <w:szCs w:val="24"/>
        </w:rPr>
        <w:t>完成人情况</w:t>
      </w:r>
    </w:p>
    <w:tbl>
      <w:tblPr>
        <w:tblStyle w:val="9"/>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2"/>
        <w:gridCol w:w="990"/>
        <w:gridCol w:w="1843"/>
        <w:gridCol w:w="2013"/>
        <w:gridCol w:w="2835"/>
      </w:tblGrid>
      <w:tr w14:paraId="24E94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9" w:hRule="atLeast"/>
        </w:trPr>
        <w:tc>
          <w:tcPr>
            <w:tcW w:w="1392" w:type="dxa"/>
            <w:vAlign w:val="center"/>
          </w:tcPr>
          <w:p w14:paraId="7DA5D5B2">
            <w:pPr>
              <w:pStyle w:val="3"/>
              <w:adjustRightInd w:val="0"/>
              <w:spacing w:after="50" w:line="240" w:lineRule="auto"/>
              <w:ind w:firstLine="0" w:firstLineChars="0"/>
              <w:jc w:val="center"/>
              <w:outlineLvl w:val="1"/>
              <w:rPr>
                <w:rFonts w:ascii="Times New Roman"/>
                <w:bCs/>
                <w:sz w:val="21"/>
                <w:szCs w:val="21"/>
              </w:rPr>
            </w:pPr>
            <w:r>
              <w:rPr>
                <w:rFonts w:ascii="Times New Roman"/>
                <w:bCs/>
                <w:sz w:val="21"/>
                <w:szCs w:val="21"/>
              </w:rPr>
              <w:t>排名</w:t>
            </w:r>
          </w:p>
        </w:tc>
        <w:tc>
          <w:tcPr>
            <w:tcW w:w="990" w:type="dxa"/>
            <w:vAlign w:val="center"/>
          </w:tcPr>
          <w:p w14:paraId="5E041129">
            <w:pPr>
              <w:pStyle w:val="3"/>
              <w:adjustRightInd w:val="0"/>
              <w:spacing w:after="50" w:line="240" w:lineRule="auto"/>
              <w:ind w:firstLine="0" w:firstLineChars="0"/>
              <w:jc w:val="center"/>
              <w:outlineLvl w:val="1"/>
              <w:rPr>
                <w:rFonts w:ascii="Times New Roman"/>
                <w:bCs/>
                <w:sz w:val="21"/>
                <w:szCs w:val="21"/>
              </w:rPr>
            </w:pPr>
            <w:r>
              <w:rPr>
                <w:rFonts w:ascii="Times New Roman"/>
                <w:bCs/>
                <w:sz w:val="21"/>
                <w:szCs w:val="21"/>
              </w:rPr>
              <w:t>姓名</w:t>
            </w:r>
          </w:p>
        </w:tc>
        <w:tc>
          <w:tcPr>
            <w:tcW w:w="1843" w:type="dxa"/>
            <w:vAlign w:val="center"/>
          </w:tcPr>
          <w:p w14:paraId="5D1349B4">
            <w:pPr>
              <w:pStyle w:val="3"/>
              <w:adjustRightInd w:val="0"/>
              <w:spacing w:after="50" w:line="240" w:lineRule="auto"/>
              <w:ind w:firstLine="0" w:firstLineChars="0"/>
              <w:jc w:val="center"/>
              <w:outlineLvl w:val="1"/>
              <w:rPr>
                <w:rFonts w:ascii="Times New Roman"/>
                <w:bCs/>
                <w:sz w:val="21"/>
                <w:szCs w:val="21"/>
              </w:rPr>
            </w:pPr>
            <w:r>
              <w:rPr>
                <w:rFonts w:ascii="Times New Roman"/>
                <w:bCs/>
                <w:sz w:val="21"/>
                <w:szCs w:val="21"/>
              </w:rPr>
              <w:t>行政/技术</w:t>
            </w:r>
            <w:r>
              <w:rPr>
                <w:rFonts w:hint="eastAsia" w:ascii="Times New Roman"/>
                <w:bCs/>
                <w:sz w:val="21"/>
                <w:szCs w:val="21"/>
              </w:rPr>
              <w:t>职称</w:t>
            </w:r>
          </w:p>
        </w:tc>
        <w:tc>
          <w:tcPr>
            <w:tcW w:w="2013" w:type="dxa"/>
            <w:vAlign w:val="center"/>
          </w:tcPr>
          <w:p w14:paraId="47FF693D">
            <w:pPr>
              <w:pStyle w:val="3"/>
              <w:adjustRightInd w:val="0"/>
              <w:spacing w:after="50" w:line="240" w:lineRule="auto"/>
              <w:ind w:firstLine="0" w:firstLineChars="0"/>
              <w:jc w:val="center"/>
              <w:outlineLvl w:val="1"/>
              <w:rPr>
                <w:rFonts w:ascii="Times New Roman"/>
                <w:bCs/>
                <w:sz w:val="21"/>
                <w:szCs w:val="21"/>
              </w:rPr>
            </w:pPr>
            <w:r>
              <w:rPr>
                <w:rFonts w:ascii="Times New Roman"/>
                <w:bCs/>
                <w:sz w:val="21"/>
                <w:szCs w:val="21"/>
              </w:rPr>
              <w:t>工作单位</w:t>
            </w:r>
            <w:r>
              <w:rPr>
                <w:rFonts w:hint="eastAsia" w:ascii="Times New Roman"/>
                <w:bCs/>
                <w:sz w:val="21"/>
                <w:szCs w:val="21"/>
              </w:rPr>
              <w:t>/</w:t>
            </w:r>
            <w:r>
              <w:rPr>
                <w:rFonts w:ascii="Times New Roman"/>
                <w:bCs/>
                <w:sz w:val="21"/>
                <w:szCs w:val="21"/>
              </w:rPr>
              <w:t>完成单位</w:t>
            </w:r>
          </w:p>
        </w:tc>
        <w:tc>
          <w:tcPr>
            <w:tcW w:w="2835" w:type="dxa"/>
            <w:vAlign w:val="center"/>
          </w:tcPr>
          <w:p w14:paraId="2C7523C0">
            <w:pPr>
              <w:pStyle w:val="3"/>
              <w:adjustRightInd w:val="0"/>
              <w:spacing w:after="50" w:line="240" w:lineRule="auto"/>
              <w:ind w:firstLine="0" w:firstLineChars="0"/>
              <w:jc w:val="center"/>
              <w:outlineLvl w:val="1"/>
              <w:rPr>
                <w:rFonts w:ascii="Times New Roman"/>
                <w:bCs/>
                <w:sz w:val="21"/>
                <w:szCs w:val="21"/>
              </w:rPr>
            </w:pPr>
            <w:r>
              <w:rPr>
                <w:rFonts w:ascii="Times New Roman"/>
                <w:bCs/>
                <w:sz w:val="21"/>
                <w:szCs w:val="21"/>
              </w:rPr>
              <w:t>对本项目技术创造性贡献</w:t>
            </w:r>
          </w:p>
        </w:tc>
      </w:tr>
      <w:tr w14:paraId="7A52B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57DEC167">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1</w:t>
            </w:r>
          </w:p>
        </w:tc>
        <w:tc>
          <w:tcPr>
            <w:tcW w:w="990" w:type="dxa"/>
            <w:vAlign w:val="center"/>
          </w:tcPr>
          <w:p w14:paraId="17AE686F">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陈帝伊</w:t>
            </w:r>
          </w:p>
        </w:tc>
        <w:tc>
          <w:tcPr>
            <w:tcW w:w="1843" w:type="dxa"/>
            <w:vAlign w:val="center"/>
          </w:tcPr>
          <w:p w14:paraId="18E91FE7">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水土保持科学与工程学院院长（中国科学院水土保持研究所所长）、教授</w:t>
            </w:r>
          </w:p>
        </w:tc>
        <w:tc>
          <w:tcPr>
            <w:tcW w:w="2013" w:type="dxa"/>
            <w:vAlign w:val="center"/>
          </w:tcPr>
          <w:p w14:paraId="42798F86">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西北农林科技大学</w:t>
            </w:r>
          </w:p>
        </w:tc>
        <w:tc>
          <w:tcPr>
            <w:tcW w:w="2835" w:type="dxa"/>
            <w:vAlign w:val="center"/>
          </w:tcPr>
          <w:p w14:paraId="4C83E0C5">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负责项目总体技术路线和总体集成，提出规划—机组改造—协同运行一体化研究框架，对三项主要科技创新作出总体性、关键性贡献。</w:t>
            </w:r>
          </w:p>
        </w:tc>
      </w:tr>
      <w:tr w14:paraId="7ADDC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535AAC64">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2</w:t>
            </w:r>
          </w:p>
        </w:tc>
        <w:tc>
          <w:tcPr>
            <w:tcW w:w="990" w:type="dxa"/>
            <w:vAlign w:val="center"/>
          </w:tcPr>
          <w:p w14:paraId="5894693E">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赵增海</w:t>
            </w:r>
          </w:p>
        </w:tc>
        <w:tc>
          <w:tcPr>
            <w:tcW w:w="1843" w:type="dxa"/>
            <w:vAlign w:val="center"/>
          </w:tcPr>
          <w:p w14:paraId="50966576">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副总经理、正高级工程师</w:t>
            </w:r>
          </w:p>
        </w:tc>
        <w:tc>
          <w:tcPr>
            <w:tcW w:w="2013" w:type="dxa"/>
            <w:vAlign w:val="center"/>
          </w:tcPr>
          <w:p w14:paraId="34BF35F6">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水电水利规划设计总院有限公司</w:t>
            </w:r>
          </w:p>
        </w:tc>
        <w:tc>
          <w:tcPr>
            <w:tcW w:w="2835" w:type="dxa"/>
            <w:vAlign w:val="center"/>
          </w:tcPr>
          <w:p w14:paraId="2685ECE5">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负责水风光基地规划与储能价值评价研究，对灵活性需求识别、系统规划和储能价值量化作出重要贡献。</w:t>
            </w:r>
          </w:p>
        </w:tc>
      </w:tr>
      <w:tr w14:paraId="39089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2A461A00">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3</w:t>
            </w:r>
          </w:p>
        </w:tc>
        <w:tc>
          <w:tcPr>
            <w:tcW w:w="990" w:type="dxa"/>
            <w:vAlign w:val="center"/>
          </w:tcPr>
          <w:p w14:paraId="5E602E2A">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益波</w:t>
            </w:r>
          </w:p>
        </w:tc>
        <w:tc>
          <w:tcPr>
            <w:tcW w:w="1843" w:type="dxa"/>
            <w:vAlign w:val="center"/>
          </w:tcPr>
          <w:p w14:paraId="2AD7FBFE">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总经理助理、院长、正高级工程师</w:t>
            </w:r>
          </w:p>
        </w:tc>
        <w:tc>
          <w:tcPr>
            <w:tcW w:w="2013" w:type="dxa"/>
            <w:vAlign w:val="center"/>
          </w:tcPr>
          <w:p w14:paraId="3AEB06FB">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中国电建集团西北勘测设计研究院有限公司</w:t>
            </w:r>
          </w:p>
        </w:tc>
        <w:tc>
          <w:tcPr>
            <w:tcW w:w="2835" w:type="dxa"/>
            <w:vAlign w:val="center"/>
          </w:tcPr>
          <w:p w14:paraId="65779E80">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负责水风光基地协同规划方法研究及黄河上游等工程推广应用，对规划方案构建和项目工程应用作出重要贡献。</w:t>
            </w:r>
          </w:p>
        </w:tc>
      </w:tr>
      <w:tr w14:paraId="0F59C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1926901A">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4</w:t>
            </w:r>
          </w:p>
        </w:tc>
        <w:tc>
          <w:tcPr>
            <w:tcW w:w="990" w:type="dxa"/>
            <w:vAlign w:val="center"/>
          </w:tcPr>
          <w:p w14:paraId="7772E313">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张娉</w:t>
            </w:r>
          </w:p>
        </w:tc>
        <w:tc>
          <w:tcPr>
            <w:tcW w:w="1843" w:type="dxa"/>
            <w:vAlign w:val="center"/>
          </w:tcPr>
          <w:p w14:paraId="0D7E417F">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院总工程师、正高级工程师</w:t>
            </w:r>
          </w:p>
        </w:tc>
        <w:tc>
          <w:tcPr>
            <w:tcW w:w="2013" w:type="dxa"/>
            <w:vAlign w:val="center"/>
          </w:tcPr>
          <w:p w14:paraId="3FA366B3">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中国电建集团西北勘测设计研究院有限公司</w:t>
            </w:r>
          </w:p>
        </w:tc>
        <w:tc>
          <w:tcPr>
            <w:tcW w:w="2835" w:type="dxa"/>
            <w:vAlign w:val="center"/>
          </w:tcPr>
          <w:p w14:paraId="7AA7B864">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负责水风光动态规划、容量配置及相关标准规范研究，对水风光基地规划和机组灵活性提升作出重要贡献。</w:t>
            </w:r>
          </w:p>
        </w:tc>
      </w:tr>
      <w:tr w14:paraId="0331D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030A84DE">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5</w:t>
            </w:r>
          </w:p>
        </w:tc>
        <w:tc>
          <w:tcPr>
            <w:tcW w:w="990" w:type="dxa"/>
            <w:vAlign w:val="center"/>
          </w:tcPr>
          <w:p w14:paraId="4597DB1E">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高洁</w:t>
            </w:r>
          </w:p>
        </w:tc>
        <w:tc>
          <w:tcPr>
            <w:tcW w:w="1843" w:type="dxa"/>
            <w:vAlign w:val="center"/>
          </w:tcPr>
          <w:p w14:paraId="6DBDD6A7">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规划部综合规划处处长、正高级工程师</w:t>
            </w:r>
          </w:p>
        </w:tc>
        <w:tc>
          <w:tcPr>
            <w:tcW w:w="2013" w:type="dxa"/>
            <w:vAlign w:val="center"/>
          </w:tcPr>
          <w:p w14:paraId="26E0C3D3">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水电水利规划设计总院有限公司</w:t>
            </w:r>
          </w:p>
        </w:tc>
        <w:tc>
          <w:tcPr>
            <w:tcW w:w="2835" w:type="dxa"/>
            <w:vAlign w:val="center"/>
          </w:tcPr>
          <w:p w14:paraId="17C53292">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参与水风光基地容量配置、系统电力电量平衡及储能价值评价研究，对规划模型和多主体协同决策作出重要贡献。</w:t>
            </w:r>
          </w:p>
        </w:tc>
      </w:tr>
      <w:tr w14:paraId="648BE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2A465302">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6</w:t>
            </w:r>
          </w:p>
        </w:tc>
        <w:tc>
          <w:tcPr>
            <w:tcW w:w="990" w:type="dxa"/>
            <w:vAlign w:val="center"/>
          </w:tcPr>
          <w:p w14:paraId="66EB4ACB">
            <w:pPr>
              <w:keepNext w:val="0"/>
              <w:keepLines w:val="0"/>
              <w:widowControl/>
              <w:suppressLineNumbers w:val="0"/>
              <w:jc w:val="center"/>
              <w:rPr>
                <w:rFonts w:ascii="Times New Roman" w:hAnsi="Times New Roman" w:eastAsia="宋体" w:cs="宋体"/>
                <w:kern w:val="0"/>
                <w:sz w:val="21"/>
                <w:szCs w:val="21"/>
                <w:lang w:val="en-US" w:eastAsia="zh-CN" w:bidi="ar"/>
              </w:rPr>
            </w:pPr>
            <w:r>
              <w:rPr>
                <w:rFonts w:ascii="Times New Roman" w:hAnsi="Times New Roman" w:eastAsia="宋体" w:cs="宋体"/>
                <w:kern w:val="0"/>
                <w:sz w:val="21"/>
                <w:szCs w:val="21"/>
                <w:lang w:val="en-US" w:eastAsia="zh-CN" w:bidi="ar"/>
              </w:rPr>
              <w:t>张军智</w:t>
            </w:r>
          </w:p>
        </w:tc>
        <w:tc>
          <w:tcPr>
            <w:tcW w:w="1843" w:type="dxa"/>
            <w:vAlign w:val="center"/>
          </w:tcPr>
          <w:p w14:paraId="6BA14122">
            <w:pPr>
              <w:keepNext w:val="0"/>
              <w:keepLines w:val="0"/>
              <w:widowControl/>
              <w:suppressLineNumbers w:val="0"/>
              <w:jc w:val="center"/>
              <w:rPr>
                <w:rFonts w:ascii="Times New Roman" w:hAnsi="Times New Roman" w:eastAsia="宋体" w:cs="宋体"/>
                <w:kern w:val="0"/>
                <w:sz w:val="21"/>
                <w:szCs w:val="21"/>
                <w:lang w:val="en-US" w:eastAsia="zh-CN" w:bidi="ar"/>
              </w:rPr>
            </w:pPr>
            <w:r>
              <w:rPr>
                <w:rFonts w:hint="eastAsia" w:cs="宋体"/>
                <w:kern w:val="0"/>
                <w:sz w:val="21"/>
                <w:szCs w:val="21"/>
                <w:lang w:val="en-US" w:eastAsia="zh-CN" w:bidi="ar"/>
              </w:rPr>
              <w:t>水机所所长，</w:t>
            </w:r>
            <w:r>
              <w:rPr>
                <w:rFonts w:ascii="Times New Roman" w:hAnsi="Times New Roman" w:eastAsia="宋体" w:cs="宋体"/>
                <w:kern w:val="0"/>
                <w:sz w:val="21"/>
                <w:szCs w:val="21"/>
                <w:lang w:val="en-US" w:eastAsia="zh-CN" w:bidi="ar"/>
              </w:rPr>
              <w:t>正高级工程师</w:t>
            </w:r>
          </w:p>
        </w:tc>
        <w:tc>
          <w:tcPr>
            <w:tcW w:w="2013" w:type="dxa"/>
            <w:vAlign w:val="center"/>
          </w:tcPr>
          <w:p w14:paraId="244CAB11">
            <w:pPr>
              <w:keepNext w:val="0"/>
              <w:keepLines w:val="0"/>
              <w:widowControl/>
              <w:suppressLineNumbers w:val="0"/>
              <w:jc w:val="center"/>
              <w:rPr>
                <w:rFonts w:ascii="Times New Roman" w:hAnsi="Times New Roman" w:eastAsia="宋体" w:cs="宋体"/>
                <w:kern w:val="0"/>
                <w:sz w:val="21"/>
                <w:szCs w:val="21"/>
                <w:lang w:val="en-US" w:eastAsia="zh-CN" w:bidi="ar"/>
              </w:rPr>
            </w:pPr>
            <w:r>
              <w:rPr>
                <w:rFonts w:ascii="Times New Roman" w:hAnsi="Times New Roman" w:eastAsia="宋体" w:cs="宋体"/>
                <w:kern w:val="0"/>
                <w:sz w:val="21"/>
                <w:szCs w:val="21"/>
                <w:lang w:val="en-US" w:eastAsia="zh-CN" w:bidi="ar"/>
              </w:rPr>
              <w:t>中国电建集团西北勘测设计研究院有限公司</w:t>
            </w:r>
          </w:p>
        </w:tc>
        <w:tc>
          <w:tcPr>
            <w:tcW w:w="2835" w:type="dxa"/>
            <w:vAlign w:val="center"/>
          </w:tcPr>
          <w:p w14:paraId="2C4B6C71">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负责储能泵配置、机组运行边界和灵活性调度相关研究，对水电机组灵活性提升和协同调控作出重要贡献。</w:t>
            </w:r>
          </w:p>
        </w:tc>
      </w:tr>
      <w:tr w14:paraId="4418C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661844E0">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7</w:t>
            </w:r>
          </w:p>
        </w:tc>
        <w:tc>
          <w:tcPr>
            <w:tcW w:w="990" w:type="dxa"/>
            <w:vAlign w:val="center"/>
          </w:tcPr>
          <w:p w14:paraId="4C17322C">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朱方亮</w:t>
            </w:r>
          </w:p>
        </w:tc>
        <w:tc>
          <w:tcPr>
            <w:tcW w:w="1843" w:type="dxa"/>
            <w:vAlign w:val="center"/>
          </w:tcPr>
          <w:p w14:paraId="30EC91EF">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规划部主任、正高级工程师</w:t>
            </w:r>
          </w:p>
        </w:tc>
        <w:tc>
          <w:tcPr>
            <w:tcW w:w="2013" w:type="dxa"/>
            <w:vAlign w:val="center"/>
          </w:tcPr>
          <w:p w14:paraId="7EA75064">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水电水利规划设计总院有限公司</w:t>
            </w:r>
          </w:p>
        </w:tc>
        <w:tc>
          <w:tcPr>
            <w:tcW w:w="2835" w:type="dxa"/>
            <w:vAlign w:val="center"/>
          </w:tcPr>
          <w:p w14:paraId="73C412F9">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参与多能互补基地规划、储能价值评价及电力电量平衡研究，对规划论证和工程方案设计作出重要贡献。</w:t>
            </w:r>
          </w:p>
        </w:tc>
      </w:tr>
      <w:tr w14:paraId="615A1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05253E34">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8</w:t>
            </w:r>
          </w:p>
        </w:tc>
        <w:tc>
          <w:tcPr>
            <w:tcW w:w="990" w:type="dxa"/>
            <w:vAlign w:val="center"/>
          </w:tcPr>
          <w:p w14:paraId="00CFF576">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赵子文</w:t>
            </w:r>
          </w:p>
        </w:tc>
        <w:tc>
          <w:tcPr>
            <w:tcW w:w="1843" w:type="dxa"/>
            <w:vAlign w:val="center"/>
          </w:tcPr>
          <w:p w14:paraId="4508558E">
            <w:pPr>
              <w:keepNext w:val="0"/>
              <w:keepLines w:val="0"/>
              <w:widowControl/>
              <w:suppressLineNumbers w:val="0"/>
              <w:jc w:val="center"/>
              <w:rPr>
                <w:rFonts w:hint="eastAsia" w:ascii="Times New Roman" w:hAnsi="Times New Roman" w:eastAsia="宋体" w:cs="宋体"/>
                <w:color w:val="000000"/>
                <w:sz w:val="21"/>
                <w:szCs w:val="21"/>
              </w:rPr>
            </w:pPr>
            <w:r>
              <w:rPr>
                <w:rFonts w:ascii="Times New Roman" w:hAnsi="Times New Roman" w:eastAsia="宋体" w:cs="宋体"/>
                <w:kern w:val="0"/>
                <w:sz w:val="21"/>
                <w:szCs w:val="21"/>
                <w:lang w:val="en-US" w:eastAsia="zh-CN" w:bidi="ar"/>
              </w:rPr>
              <w:t>副研究员</w:t>
            </w:r>
          </w:p>
        </w:tc>
        <w:tc>
          <w:tcPr>
            <w:tcW w:w="2013" w:type="dxa"/>
            <w:vAlign w:val="center"/>
          </w:tcPr>
          <w:p w14:paraId="6BC7106F">
            <w:pPr>
              <w:keepNext w:val="0"/>
              <w:keepLines w:val="0"/>
              <w:widowControl/>
              <w:suppressLineNumbers w:val="0"/>
              <w:jc w:val="center"/>
              <w:rPr>
                <w:rFonts w:hint="eastAsia" w:ascii="Times New Roman" w:hAnsi="Times New Roman" w:eastAsia="宋体" w:cs="宋体"/>
                <w:color w:val="000000"/>
                <w:sz w:val="21"/>
                <w:szCs w:val="21"/>
              </w:rPr>
            </w:pPr>
            <w:r>
              <w:rPr>
                <w:rFonts w:ascii="Times New Roman" w:hAnsi="Times New Roman" w:eastAsia="宋体" w:cs="宋体"/>
                <w:kern w:val="0"/>
                <w:sz w:val="21"/>
                <w:szCs w:val="21"/>
                <w:lang w:val="en-US" w:eastAsia="zh-CN" w:bidi="ar"/>
              </w:rPr>
              <w:t>西北农林科技大学</w:t>
            </w:r>
          </w:p>
        </w:tc>
        <w:tc>
          <w:tcPr>
            <w:tcW w:w="2835" w:type="dxa"/>
            <w:vAlign w:val="center"/>
          </w:tcPr>
          <w:p w14:paraId="4ECE748D">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负责水电机组控制、抽水转发电控制及运行经济性评价研究，对机组灵活性控制和避振运行技术作出重要贡献。</w:t>
            </w:r>
          </w:p>
        </w:tc>
      </w:tr>
      <w:tr w14:paraId="498A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57A60EA8">
            <w:pPr>
              <w:keepNext w:val="0"/>
              <w:keepLines w:val="0"/>
              <w:widowControl/>
              <w:suppressLineNumbers w:val="0"/>
              <w:jc w:val="center"/>
              <w:rPr>
                <w:rFonts w:ascii="Times New Roman" w:hAnsi="Times New Roman"/>
                <w:bCs/>
                <w:sz w:val="21"/>
                <w:szCs w:val="21"/>
              </w:rPr>
            </w:pPr>
            <w:r>
              <w:rPr>
                <w:rFonts w:ascii="Times New Roman" w:hAnsi="Times New Roman" w:eastAsia="宋体" w:cs="宋体"/>
                <w:kern w:val="0"/>
                <w:sz w:val="21"/>
                <w:szCs w:val="21"/>
                <w:lang w:val="en-US" w:eastAsia="zh-CN" w:bidi="ar"/>
              </w:rPr>
              <w:t>9</w:t>
            </w:r>
          </w:p>
        </w:tc>
        <w:tc>
          <w:tcPr>
            <w:tcW w:w="990" w:type="dxa"/>
            <w:vAlign w:val="center"/>
          </w:tcPr>
          <w:p w14:paraId="188D397F">
            <w:pPr>
              <w:keepNext w:val="0"/>
              <w:keepLines w:val="0"/>
              <w:widowControl/>
              <w:suppressLineNumbers w:val="0"/>
              <w:jc w:val="center"/>
              <w:rPr>
                <w:rFonts w:ascii="Times New Roman" w:hAnsi="Times New Roman" w:eastAsia="宋体" w:cs="宋体"/>
                <w:kern w:val="0"/>
                <w:sz w:val="21"/>
                <w:szCs w:val="21"/>
                <w:lang w:val="en-US" w:eastAsia="zh-CN" w:bidi="ar"/>
              </w:rPr>
            </w:pPr>
            <w:r>
              <w:rPr>
                <w:rFonts w:ascii="Times New Roman" w:hAnsi="Times New Roman" w:eastAsia="宋体" w:cs="宋体"/>
                <w:kern w:val="0"/>
                <w:sz w:val="21"/>
                <w:szCs w:val="21"/>
                <w:lang w:val="en-US" w:eastAsia="zh-CN" w:bidi="ar"/>
              </w:rPr>
              <w:t>王社亮</w:t>
            </w:r>
          </w:p>
        </w:tc>
        <w:tc>
          <w:tcPr>
            <w:tcW w:w="1843" w:type="dxa"/>
            <w:vAlign w:val="center"/>
          </w:tcPr>
          <w:p w14:paraId="7CE37747">
            <w:pPr>
              <w:keepNext w:val="0"/>
              <w:keepLines w:val="0"/>
              <w:widowControl/>
              <w:suppressLineNumbers w:val="0"/>
              <w:jc w:val="center"/>
              <w:rPr>
                <w:rFonts w:hint="eastAsia" w:ascii="Times New Roman" w:hAnsi="Times New Roman" w:eastAsia="宋体" w:cs="宋体"/>
                <w:kern w:val="0"/>
                <w:sz w:val="21"/>
                <w:szCs w:val="21"/>
                <w:lang w:val="en-US" w:eastAsia="zh-CN" w:bidi="ar"/>
              </w:rPr>
            </w:pPr>
            <w:r>
              <w:rPr>
                <w:rFonts w:ascii="Times New Roman" w:hAnsi="Times New Roman" w:eastAsia="宋体" w:cs="宋体"/>
                <w:kern w:val="0"/>
                <w:sz w:val="21"/>
                <w:szCs w:val="21"/>
                <w:lang w:val="en-US" w:eastAsia="zh-CN" w:bidi="ar"/>
              </w:rPr>
              <w:t>正高级工程师</w:t>
            </w:r>
          </w:p>
        </w:tc>
        <w:tc>
          <w:tcPr>
            <w:tcW w:w="2013" w:type="dxa"/>
            <w:vAlign w:val="center"/>
          </w:tcPr>
          <w:p w14:paraId="3D63DD33">
            <w:pPr>
              <w:keepNext w:val="0"/>
              <w:keepLines w:val="0"/>
              <w:widowControl/>
              <w:suppressLineNumbers w:val="0"/>
              <w:jc w:val="center"/>
              <w:rPr>
                <w:rFonts w:hint="eastAsia" w:ascii="Times New Roman" w:hAnsi="Times New Roman" w:eastAsia="宋体" w:cs="宋体"/>
                <w:kern w:val="0"/>
                <w:sz w:val="21"/>
                <w:szCs w:val="21"/>
                <w:lang w:val="en-US" w:eastAsia="zh-CN" w:bidi="ar"/>
              </w:rPr>
            </w:pPr>
            <w:r>
              <w:rPr>
                <w:rFonts w:ascii="Times New Roman" w:hAnsi="Times New Roman" w:eastAsia="宋体" w:cs="宋体"/>
                <w:kern w:val="0"/>
                <w:sz w:val="21"/>
                <w:szCs w:val="21"/>
                <w:lang w:val="en-US" w:eastAsia="zh-CN" w:bidi="ar"/>
              </w:rPr>
              <w:t>中国电建集团西北勘测设计研究院有限公司</w:t>
            </w:r>
          </w:p>
        </w:tc>
        <w:tc>
          <w:tcPr>
            <w:tcW w:w="2835" w:type="dxa"/>
            <w:vAlign w:val="center"/>
          </w:tcPr>
          <w:p w14:paraId="3B29B17D">
            <w:pPr>
              <w:keepNext w:val="0"/>
              <w:keepLines w:val="0"/>
              <w:widowControl/>
              <w:suppressLineNumbers w:val="0"/>
              <w:jc w:val="center"/>
              <w:rPr>
                <w:rFonts w:ascii="Times New Roman" w:hAnsi="Times New Roman" w:eastAsia="宋体" w:cs="宋体"/>
                <w:kern w:val="0"/>
                <w:sz w:val="21"/>
                <w:szCs w:val="21"/>
                <w:lang w:val="en-US" w:eastAsia="zh-CN" w:bidi="ar"/>
              </w:rPr>
            </w:pPr>
            <w:r>
              <w:rPr>
                <w:rFonts w:ascii="Times New Roman" w:hAnsi="Times New Roman" w:eastAsia="宋体" w:cs="宋体"/>
                <w:kern w:val="0"/>
                <w:sz w:val="21"/>
                <w:szCs w:val="21"/>
                <w:lang w:val="en-US" w:eastAsia="zh-CN" w:bidi="ar"/>
              </w:rPr>
              <w:t>负责水风光基地规划、电力电量平衡和工程方案论证，参与水电机组灵活性提升相关规划与工程推广应用，对项目规划技术和成果应用作出贡献。</w:t>
            </w:r>
          </w:p>
        </w:tc>
      </w:tr>
      <w:tr w14:paraId="5F4BB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92" w:type="dxa"/>
            <w:vAlign w:val="center"/>
          </w:tcPr>
          <w:p w14:paraId="47EDD64D">
            <w:pPr>
              <w:pStyle w:val="8"/>
              <w:keepNext w:val="0"/>
              <w:keepLines w:val="0"/>
              <w:widowControl/>
              <w:suppressLineNumbers w:val="0"/>
              <w:spacing w:before="0" w:beforeAutospacing="0" w:after="0" w:afterAutospacing="0"/>
              <w:ind w:left="0" w:leftChars="0" w:right="0" w:rightChars="0"/>
              <w:jc w:val="center"/>
              <w:rPr>
                <w:rFonts w:ascii="Times New Roman" w:hAnsi="Times New Roman" w:eastAsia="宋体" w:cs="宋体"/>
                <w:kern w:val="0"/>
                <w:sz w:val="21"/>
                <w:szCs w:val="21"/>
                <w:lang w:val="en-US" w:eastAsia="zh-CN" w:bidi="ar"/>
              </w:rPr>
            </w:pPr>
            <w:r>
              <w:rPr>
                <w:rFonts w:ascii="Times New Roman" w:hAnsi="Times New Roman"/>
                <w:sz w:val="21"/>
                <w:szCs w:val="21"/>
              </w:rPr>
              <w:t>10</w:t>
            </w:r>
          </w:p>
        </w:tc>
        <w:tc>
          <w:tcPr>
            <w:tcW w:w="990" w:type="dxa"/>
            <w:vAlign w:val="center"/>
          </w:tcPr>
          <w:p w14:paraId="5C292866">
            <w:pPr>
              <w:pStyle w:val="8"/>
              <w:keepNext w:val="0"/>
              <w:keepLines w:val="0"/>
              <w:widowControl/>
              <w:suppressLineNumbers w:val="0"/>
              <w:spacing w:before="0" w:beforeAutospacing="0" w:after="0" w:afterAutospacing="0"/>
              <w:ind w:left="0" w:leftChars="0" w:right="0" w:rightChars="0"/>
              <w:jc w:val="center"/>
              <w:rPr>
                <w:rFonts w:ascii="Times New Roman" w:hAnsi="Times New Roman" w:eastAsia="宋体" w:cs="宋体"/>
                <w:kern w:val="0"/>
                <w:sz w:val="21"/>
                <w:szCs w:val="21"/>
                <w:lang w:val="en-US" w:eastAsia="zh-CN" w:bidi="ar"/>
              </w:rPr>
            </w:pPr>
            <w:r>
              <w:rPr>
                <w:rFonts w:ascii="Times New Roman" w:hAnsi="Times New Roman"/>
                <w:sz w:val="21"/>
                <w:szCs w:val="21"/>
              </w:rPr>
              <w:t>张东</w:t>
            </w:r>
          </w:p>
        </w:tc>
        <w:tc>
          <w:tcPr>
            <w:tcW w:w="1843" w:type="dxa"/>
            <w:vAlign w:val="center"/>
          </w:tcPr>
          <w:p w14:paraId="2261FD3F">
            <w:pPr>
              <w:pStyle w:val="8"/>
              <w:keepNext w:val="0"/>
              <w:keepLines w:val="0"/>
              <w:widowControl/>
              <w:suppressLineNumbers w:val="0"/>
              <w:spacing w:before="0" w:beforeAutospacing="0" w:after="0" w:afterAutospacing="0"/>
              <w:ind w:left="0" w:leftChars="0" w:right="0" w:rightChars="0"/>
              <w:jc w:val="center"/>
              <w:rPr>
                <w:rFonts w:ascii="Times New Roman" w:hAnsi="Times New Roman" w:eastAsia="宋体" w:cs="宋体"/>
                <w:kern w:val="0"/>
                <w:sz w:val="21"/>
                <w:szCs w:val="21"/>
                <w:lang w:val="en-US" w:eastAsia="zh-CN" w:bidi="ar"/>
              </w:rPr>
            </w:pPr>
            <w:r>
              <w:rPr>
                <w:rFonts w:ascii="Times New Roman" w:hAnsi="Times New Roman"/>
                <w:sz w:val="21"/>
                <w:szCs w:val="21"/>
              </w:rPr>
              <w:t>高级工程师</w:t>
            </w:r>
          </w:p>
        </w:tc>
        <w:tc>
          <w:tcPr>
            <w:tcW w:w="2013" w:type="dxa"/>
            <w:vAlign w:val="center"/>
          </w:tcPr>
          <w:p w14:paraId="321C6F06">
            <w:pPr>
              <w:pStyle w:val="8"/>
              <w:keepNext w:val="0"/>
              <w:keepLines w:val="0"/>
              <w:widowControl/>
              <w:suppressLineNumbers w:val="0"/>
              <w:spacing w:before="0" w:beforeAutospacing="0" w:after="0" w:afterAutospacing="0"/>
              <w:ind w:left="0" w:leftChars="0" w:right="0" w:rightChars="0"/>
              <w:jc w:val="center"/>
              <w:rPr>
                <w:rFonts w:ascii="Times New Roman" w:hAnsi="Times New Roman" w:eastAsia="宋体" w:cs="宋体"/>
                <w:kern w:val="0"/>
                <w:sz w:val="21"/>
                <w:szCs w:val="21"/>
                <w:lang w:val="en-US" w:eastAsia="zh-CN" w:bidi="ar"/>
              </w:rPr>
            </w:pPr>
            <w:r>
              <w:rPr>
                <w:rFonts w:ascii="Times New Roman" w:hAnsi="Times New Roman"/>
                <w:sz w:val="21"/>
                <w:szCs w:val="21"/>
              </w:rPr>
              <w:t>水电水利规划设计总院有限公司</w:t>
            </w:r>
          </w:p>
        </w:tc>
        <w:tc>
          <w:tcPr>
            <w:tcW w:w="2835" w:type="dxa"/>
            <w:vAlign w:val="center"/>
          </w:tcPr>
          <w:p w14:paraId="7B375FD7">
            <w:pPr>
              <w:pStyle w:val="8"/>
              <w:keepNext w:val="0"/>
              <w:keepLines w:val="0"/>
              <w:widowControl/>
              <w:suppressLineNumbers w:val="0"/>
              <w:spacing w:before="0" w:beforeAutospacing="0" w:after="0" w:afterAutospacing="0"/>
              <w:ind w:left="0" w:leftChars="0" w:right="0" w:rightChars="0"/>
              <w:jc w:val="center"/>
              <w:rPr>
                <w:rFonts w:ascii="Times New Roman" w:hAnsi="Times New Roman" w:eastAsia="宋体" w:cs="宋体"/>
                <w:kern w:val="0"/>
                <w:sz w:val="21"/>
                <w:szCs w:val="21"/>
                <w:lang w:val="en-US" w:eastAsia="zh-CN" w:bidi="ar"/>
              </w:rPr>
            </w:pPr>
            <w:r>
              <w:rPr>
                <w:rFonts w:ascii="Times New Roman" w:hAnsi="Times New Roman"/>
                <w:sz w:val="21"/>
                <w:szCs w:val="21"/>
              </w:rPr>
              <w:t>参与水风光基地协同规划和电力电量平衡研究，共同完成相关发明专利，对系统规划和工程论证作出贡献。</w:t>
            </w:r>
          </w:p>
        </w:tc>
      </w:tr>
    </w:tbl>
    <w:p w14:paraId="6EA3B39A">
      <w:pPr>
        <w:pStyle w:val="3"/>
        <w:spacing w:line="240" w:lineRule="auto"/>
        <w:ind w:firstLine="0" w:firstLineChars="0"/>
        <w:jc w:val="left"/>
        <w:rPr>
          <w:rFonts w:ascii="Times New Roman"/>
          <w:bCs/>
        </w:rPr>
      </w:pPr>
      <w:r>
        <w:rPr>
          <w:rFonts w:hint="eastAsia"/>
          <w:bCs/>
        </w:rPr>
        <w:t>八、</w:t>
      </w:r>
      <w:r>
        <w:rPr>
          <w:rFonts w:hint="eastAsia" w:ascii="Times New Roman"/>
          <w:bCs/>
        </w:rPr>
        <w:t>主要完成单位情况及创新推广贡献</w:t>
      </w:r>
    </w:p>
    <w:tbl>
      <w:tblPr>
        <w:tblStyle w:val="9"/>
        <w:tblW w:w="9073" w:type="dxa"/>
        <w:tblInd w:w="-43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9"/>
        <w:gridCol w:w="1304"/>
        <w:gridCol w:w="5670"/>
      </w:tblGrid>
      <w:tr w14:paraId="7D0EB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trPr>
        <w:tc>
          <w:tcPr>
            <w:tcW w:w="2099" w:type="dxa"/>
            <w:vAlign w:val="center"/>
          </w:tcPr>
          <w:p w14:paraId="192E153B">
            <w:pPr>
              <w:pStyle w:val="3"/>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排名</w:t>
            </w:r>
          </w:p>
        </w:tc>
        <w:tc>
          <w:tcPr>
            <w:tcW w:w="1304" w:type="dxa"/>
            <w:vAlign w:val="center"/>
          </w:tcPr>
          <w:p w14:paraId="17F13CB2">
            <w:pPr>
              <w:pStyle w:val="3"/>
              <w:adjustRightInd w:val="0"/>
              <w:snapToGrid w:val="0"/>
              <w:spacing w:line="240" w:lineRule="auto"/>
              <w:ind w:firstLine="0" w:firstLineChars="0"/>
              <w:jc w:val="center"/>
              <w:rPr>
                <w:rFonts w:ascii="Times New Roman"/>
                <w:bCs/>
                <w:sz w:val="21"/>
                <w:szCs w:val="21"/>
              </w:rPr>
            </w:pPr>
            <w:r>
              <w:rPr>
                <w:rFonts w:hint="eastAsia" w:ascii="Times New Roman"/>
                <w:bCs/>
                <w:sz w:val="21"/>
                <w:szCs w:val="21"/>
              </w:rPr>
              <w:t>单位名称</w:t>
            </w:r>
          </w:p>
        </w:tc>
        <w:tc>
          <w:tcPr>
            <w:tcW w:w="5670" w:type="dxa"/>
            <w:vAlign w:val="center"/>
          </w:tcPr>
          <w:p w14:paraId="1CB23E5A">
            <w:pPr>
              <w:spacing w:line="360" w:lineRule="exact"/>
              <w:jc w:val="center"/>
              <w:rPr>
                <w:bCs/>
                <w:szCs w:val="21"/>
              </w:rPr>
            </w:pPr>
            <w:r>
              <w:t>对本项目科技创新和应用推广情况的贡献</w:t>
            </w:r>
          </w:p>
        </w:tc>
      </w:tr>
      <w:tr w14:paraId="2442C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99" w:type="dxa"/>
            <w:vAlign w:val="center"/>
          </w:tcPr>
          <w:p w14:paraId="38024C92">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1</w:t>
            </w:r>
          </w:p>
        </w:tc>
        <w:tc>
          <w:tcPr>
            <w:tcW w:w="1304" w:type="dxa"/>
            <w:vAlign w:val="center"/>
          </w:tcPr>
          <w:p w14:paraId="4B405993">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中国电建集团西北勘测设计研究院有限公司</w:t>
            </w:r>
          </w:p>
        </w:tc>
        <w:tc>
          <w:tcPr>
            <w:tcW w:w="5670" w:type="dxa"/>
            <w:vAlign w:val="center"/>
          </w:tcPr>
          <w:p w14:paraId="7EB942C0">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围绕项目核心创新点，</w:t>
            </w:r>
            <w:r>
              <w:rPr>
                <w:rFonts w:hint="eastAsia"/>
                <w:sz w:val="21"/>
                <w:szCs w:val="21"/>
              </w:rPr>
              <w:t>形成了</w:t>
            </w:r>
            <w:r>
              <w:rPr>
                <w:sz w:val="21"/>
                <w:szCs w:val="21"/>
              </w:rPr>
              <w:t>水风光基地时空协同规划理论与方法体系，将电源开发规模、建设时序、电网网架和水电调节能力纳入统一规划框架；提出了面向水电机组运行边界和多时间尺度调控的协同优化方法，为水风光基地规划、水电机组灵活性提升及相关技术的工程推广应用作出了重要贡献。</w:t>
            </w:r>
          </w:p>
        </w:tc>
      </w:tr>
      <w:tr w14:paraId="0CCEA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99" w:type="dxa"/>
            <w:vAlign w:val="center"/>
          </w:tcPr>
          <w:p w14:paraId="307CFD5F">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2</w:t>
            </w:r>
          </w:p>
        </w:tc>
        <w:tc>
          <w:tcPr>
            <w:tcW w:w="1304" w:type="dxa"/>
            <w:vAlign w:val="center"/>
          </w:tcPr>
          <w:p w14:paraId="4610EC8B">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西北农林科技大学</w:t>
            </w:r>
          </w:p>
        </w:tc>
        <w:tc>
          <w:tcPr>
            <w:tcW w:w="5670" w:type="dxa"/>
            <w:vAlign w:val="center"/>
          </w:tcPr>
          <w:p w14:paraId="124F71D5">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围绕项目核心创新点，开发了基于逐次线性规划分解的并行求解算法，实现了系统调节需求与水电机组运行边界、工程参数之间的定量映射；构建了水电机组分层分区动态协同控制方法和运行评价方法，为水电机组灵活性提升、协同调度及项目成果推广应用作出了重要贡献。</w:t>
            </w:r>
          </w:p>
        </w:tc>
      </w:tr>
      <w:tr w14:paraId="075EB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099" w:type="dxa"/>
            <w:vAlign w:val="center"/>
          </w:tcPr>
          <w:p w14:paraId="6F5BE576">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3</w:t>
            </w:r>
          </w:p>
        </w:tc>
        <w:tc>
          <w:tcPr>
            <w:tcW w:w="1304" w:type="dxa"/>
            <w:vAlign w:val="center"/>
          </w:tcPr>
          <w:p w14:paraId="337ED38F">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水电水利规划设计总院有限公司</w:t>
            </w:r>
          </w:p>
        </w:tc>
        <w:tc>
          <w:tcPr>
            <w:tcW w:w="5670" w:type="dxa"/>
            <w:vAlign w:val="center"/>
          </w:tcPr>
          <w:p w14:paraId="2386D9CF">
            <w:pPr>
              <w:pStyle w:val="8"/>
              <w:keepNext w:val="0"/>
              <w:keepLines w:val="0"/>
              <w:widowControl/>
              <w:suppressLineNumbers w:val="0"/>
              <w:spacing w:before="0" w:beforeAutospacing="0" w:after="0" w:afterAutospacing="0"/>
              <w:ind w:left="0" w:leftChars="0" w:right="0" w:rightChars="0"/>
              <w:jc w:val="center"/>
              <w:rPr>
                <w:rFonts w:ascii="Times New Roman"/>
                <w:bCs/>
                <w:sz w:val="21"/>
                <w:szCs w:val="21"/>
              </w:rPr>
            </w:pPr>
            <w:r>
              <w:rPr>
                <w:sz w:val="21"/>
                <w:szCs w:val="21"/>
              </w:rPr>
              <w:t>作为项目顶层规划与设计单位，围绕水风光基地规划和多时间尺度协同运行，开展了水电灵活性需求识别、系统规划及储能价值评价等工作，为黄河上游及相关大型清洁能源基地规划、工程方案论证和项目成果推广应用提供了重要技术支撑。</w:t>
            </w:r>
          </w:p>
        </w:tc>
      </w:tr>
    </w:tbl>
    <w:p w14:paraId="1BAA0E47">
      <w:pPr>
        <w:spacing w:line="400" w:lineRule="exact"/>
        <w:rPr>
          <w:rFonts w:ascii="宋体" w:hAnsi="宋体"/>
          <w:bCs/>
          <w:color w:val="0D0D0D"/>
          <w:szCs w:val="24"/>
        </w:rPr>
      </w:pPr>
      <w:r>
        <w:rPr>
          <w:rFonts w:hint="eastAsia" w:ascii="宋体" w:hAnsi="宋体"/>
          <w:bCs/>
          <w:color w:val="0D0D0D"/>
          <w:szCs w:val="24"/>
        </w:rPr>
        <w:t>九、完成人合作关系说明（</w:t>
      </w:r>
      <w:r>
        <w:rPr>
          <w:rFonts w:ascii="宋体" w:hAnsi="宋体"/>
          <w:bCs/>
          <w:color w:val="0D0D0D"/>
          <w:szCs w:val="24"/>
        </w:rPr>
        <w:t>合作方式包括专著合著、论文合著、共同立项、共同知识产权、共同获奖、共同参与制定标准规范、产业合作等。</w:t>
      </w:r>
      <w:r>
        <w:rPr>
          <w:rFonts w:hint="eastAsia" w:ascii="宋体" w:hAnsi="宋体"/>
          <w:bCs/>
          <w:color w:val="0D0D0D"/>
          <w:szCs w:val="24"/>
        </w:rPr>
        <w:t>）</w:t>
      </w:r>
    </w:p>
    <w:tbl>
      <w:tblPr>
        <w:tblStyle w:val="9"/>
        <w:tblW w:w="8946"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954"/>
        <w:gridCol w:w="1063"/>
        <w:gridCol w:w="1919"/>
        <w:gridCol w:w="1077"/>
        <w:gridCol w:w="1977"/>
        <w:gridCol w:w="1956"/>
      </w:tblGrid>
      <w:tr w14:paraId="06D412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trHeight w:val="341" w:hRule="atLeast"/>
          <w:jc w:val="center"/>
        </w:trPr>
        <w:tc>
          <w:tcPr>
            <w:tcW w:w="954" w:type="dxa"/>
            <w:vAlign w:val="center"/>
          </w:tcPr>
          <w:p w14:paraId="65F27463">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序号</w:t>
            </w:r>
          </w:p>
        </w:tc>
        <w:tc>
          <w:tcPr>
            <w:tcW w:w="1063" w:type="dxa"/>
            <w:vAlign w:val="center"/>
          </w:tcPr>
          <w:p w14:paraId="2167D574">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合作方式</w:t>
            </w:r>
          </w:p>
        </w:tc>
        <w:tc>
          <w:tcPr>
            <w:tcW w:w="1919" w:type="dxa"/>
            <w:vAlign w:val="center"/>
          </w:tcPr>
          <w:p w14:paraId="277494AA">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合作者/项目排名</w:t>
            </w:r>
          </w:p>
        </w:tc>
        <w:tc>
          <w:tcPr>
            <w:tcW w:w="1077" w:type="dxa"/>
            <w:vAlign w:val="center"/>
          </w:tcPr>
          <w:p w14:paraId="3E780936">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合作时间</w:t>
            </w:r>
          </w:p>
        </w:tc>
        <w:tc>
          <w:tcPr>
            <w:tcW w:w="1977" w:type="dxa"/>
            <w:vAlign w:val="center"/>
          </w:tcPr>
          <w:p w14:paraId="1E063316">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合作成果</w:t>
            </w:r>
          </w:p>
        </w:tc>
        <w:tc>
          <w:tcPr>
            <w:tcW w:w="1956" w:type="dxa"/>
            <w:vAlign w:val="center"/>
          </w:tcPr>
          <w:p w14:paraId="6EE29DFE">
            <w:pPr>
              <w:pStyle w:val="3"/>
              <w:adjustRightInd w:val="0"/>
              <w:snapToGrid w:val="0"/>
              <w:spacing w:line="240" w:lineRule="auto"/>
              <w:ind w:firstLine="0" w:firstLineChars="0"/>
              <w:jc w:val="center"/>
              <w:rPr>
                <w:rFonts w:ascii="Times New Roman"/>
                <w:bCs/>
                <w:sz w:val="21"/>
                <w:szCs w:val="21"/>
              </w:rPr>
            </w:pPr>
            <w:r>
              <w:rPr>
                <w:rFonts w:ascii="Times New Roman"/>
                <w:bCs/>
                <w:sz w:val="21"/>
                <w:szCs w:val="21"/>
              </w:rPr>
              <w:t>证明材料</w:t>
            </w:r>
          </w:p>
        </w:tc>
      </w:tr>
      <w:tr w14:paraId="78ECC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54" w:type="dxa"/>
            <w:vAlign w:val="center"/>
          </w:tcPr>
          <w:p w14:paraId="10DC9AC4">
            <w:pPr>
              <w:spacing w:before="156" w:beforeLines="50" w:after="156" w:afterLines="50"/>
              <w:jc w:val="center"/>
              <w:rPr>
                <w:bCs/>
                <w:sz w:val="21"/>
                <w:szCs w:val="21"/>
              </w:rPr>
            </w:pPr>
            <w:r>
              <w:rPr>
                <w:bCs/>
                <w:sz w:val="21"/>
                <w:szCs w:val="21"/>
              </w:rPr>
              <w:t>1</w:t>
            </w:r>
          </w:p>
        </w:tc>
        <w:tc>
          <w:tcPr>
            <w:tcW w:w="1063" w:type="dxa"/>
            <w:vAlign w:val="center"/>
          </w:tcPr>
          <w:p w14:paraId="7A29FB9C">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共同立项</w:t>
            </w:r>
          </w:p>
        </w:tc>
        <w:tc>
          <w:tcPr>
            <w:tcW w:w="1919" w:type="dxa"/>
            <w:vAlign w:val="top"/>
          </w:tcPr>
          <w:p w14:paraId="37A68888">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陈帝伊/1；益波/3；张娉/4；王社亮/9</w:t>
            </w:r>
          </w:p>
        </w:tc>
        <w:tc>
          <w:tcPr>
            <w:tcW w:w="1077" w:type="dxa"/>
            <w:vAlign w:val="center"/>
          </w:tcPr>
          <w:p w14:paraId="0AD0A2CD">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2022年7月—2022年12月</w:t>
            </w:r>
          </w:p>
        </w:tc>
        <w:tc>
          <w:tcPr>
            <w:tcW w:w="1977" w:type="dxa"/>
            <w:vAlign w:val="top"/>
          </w:tcPr>
          <w:p w14:paraId="01023A57">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黄河尼那“水光储一体化”清洁能源基地容量配置专题研究</w:t>
            </w:r>
          </w:p>
        </w:tc>
        <w:tc>
          <w:tcPr>
            <w:tcW w:w="1956" w:type="dxa"/>
            <w:vAlign w:val="center"/>
          </w:tcPr>
          <w:p w14:paraId="4D84C0FF">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合同</w:t>
            </w:r>
          </w:p>
        </w:tc>
      </w:tr>
      <w:tr w14:paraId="029254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54" w:type="dxa"/>
            <w:vAlign w:val="center"/>
          </w:tcPr>
          <w:p w14:paraId="2DF2ED62">
            <w:pPr>
              <w:spacing w:before="156" w:beforeLines="50" w:after="156" w:afterLines="50"/>
              <w:jc w:val="center"/>
              <w:rPr>
                <w:bCs/>
                <w:sz w:val="21"/>
                <w:szCs w:val="21"/>
              </w:rPr>
            </w:pPr>
            <w:r>
              <w:rPr>
                <w:bCs/>
                <w:sz w:val="21"/>
                <w:szCs w:val="21"/>
              </w:rPr>
              <w:t>2</w:t>
            </w:r>
          </w:p>
        </w:tc>
        <w:tc>
          <w:tcPr>
            <w:tcW w:w="1063" w:type="dxa"/>
            <w:vAlign w:val="center"/>
          </w:tcPr>
          <w:p w14:paraId="5B899540">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共同立项</w:t>
            </w:r>
          </w:p>
        </w:tc>
        <w:tc>
          <w:tcPr>
            <w:tcW w:w="1919" w:type="dxa"/>
            <w:vAlign w:val="top"/>
          </w:tcPr>
          <w:p w14:paraId="482FB17C">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陈帝伊/1；赵增海/2；益波/3；朱方亮/7；王社亮/9</w:t>
            </w:r>
          </w:p>
        </w:tc>
        <w:tc>
          <w:tcPr>
            <w:tcW w:w="1077" w:type="dxa"/>
            <w:vAlign w:val="center"/>
          </w:tcPr>
          <w:p w14:paraId="68B8B7D6">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2022年7月—2023年9月</w:t>
            </w:r>
          </w:p>
        </w:tc>
        <w:tc>
          <w:tcPr>
            <w:tcW w:w="1977" w:type="dxa"/>
            <w:vAlign w:val="top"/>
          </w:tcPr>
          <w:p w14:paraId="11718C20">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黄河上游及北干流多能互补基地规划研究</w:t>
            </w:r>
          </w:p>
        </w:tc>
        <w:tc>
          <w:tcPr>
            <w:tcW w:w="1956" w:type="dxa"/>
            <w:vAlign w:val="center"/>
          </w:tcPr>
          <w:p w14:paraId="4C195302">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合同</w:t>
            </w:r>
          </w:p>
        </w:tc>
      </w:tr>
      <w:tr w14:paraId="2C9653E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54" w:type="dxa"/>
            <w:vAlign w:val="center"/>
          </w:tcPr>
          <w:p w14:paraId="42B09A19">
            <w:pPr>
              <w:spacing w:before="156" w:beforeLines="50" w:after="156" w:afterLines="50"/>
              <w:jc w:val="center"/>
              <w:rPr>
                <w:bCs/>
                <w:sz w:val="21"/>
                <w:szCs w:val="21"/>
              </w:rPr>
            </w:pPr>
            <w:r>
              <w:rPr>
                <w:bCs/>
                <w:sz w:val="21"/>
                <w:szCs w:val="21"/>
              </w:rPr>
              <w:t>3</w:t>
            </w:r>
          </w:p>
        </w:tc>
        <w:tc>
          <w:tcPr>
            <w:tcW w:w="1063" w:type="dxa"/>
            <w:vAlign w:val="center"/>
          </w:tcPr>
          <w:p w14:paraId="0C147D37">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共同知识产权</w:t>
            </w:r>
          </w:p>
        </w:tc>
        <w:tc>
          <w:tcPr>
            <w:tcW w:w="1919" w:type="dxa"/>
            <w:vAlign w:val="top"/>
          </w:tcPr>
          <w:p w14:paraId="09146014">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陈帝伊/1；张军智/6</w:t>
            </w:r>
          </w:p>
        </w:tc>
        <w:tc>
          <w:tcPr>
            <w:tcW w:w="1077" w:type="dxa"/>
            <w:vAlign w:val="center"/>
          </w:tcPr>
          <w:p w14:paraId="6DB6A279">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2022年6月—2025年3月</w:t>
            </w:r>
          </w:p>
        </w:tc>
        <w:tc>
          <w:tcPr>
            <w:tcW w:w="1977" w:type="dxa"/>
            <w:vAlign w:val="top"/>
          </w:tcPr>
          <w:p w14:paraId="1283F98A">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水光储一体化系统配置储能泵的短期优化调度方法</w:t>
            </w:r>
          </w:p>
        </w:tc>
        <w:tc>
          <w:tcPr>
            <w:tcW w:w="1956" w:type="dxa"/>
            <w:vAlign w:val="center"/>
          </w:tcPr>
          <w:p w14:paraId="6C08E717">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专利证书</w:t>
            </w:r>
          </w:p>
        </w:tc>
      </w:tr>
      <w:tr w14:paraId="3AE858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54" w:type="dxa"/>
            <w:vAlign w:val="center"/>
          </w:tcPr>
          <w:p w14:paraId="1E1D3975">
            <w:pPr>
              <w:spacing w:before="156" w:beforeLines="50" w:after="156" w:afterLines="50"/>
              <w:jc w:val="center"/>
              <w:rPr>
                <w:bCs/>
                <w:sz w:val="21"/>
                <w:szCs w:val="21"/>
              </w:rPr>
            </w:pPr>
            <w:r>
              <w:rPr>
                <w:bCs/>
                <w:sz w:val="21"/>
                <w:szCs w:val="21"/>
              </w:rPr>
              <w:t>4</w:t>
            </w:r>
          </w:p>
        </w:tc>
        <w:tc>
          <w:tcPr>
            <w:tcW w:w="1063" w:type="dxa"/>
            <w:vAlign w:val="center"/>
          </w:tcPr>
          <w:p w14:paraId="6231F8FF">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共同知识产权</w:t>
            </w:r>
          </w:p>
        </w:tc>
        <w:tc>
          <w:tcPr>
            <w:tcW w:w="1919" w:type="dxa"/>
            <w:vAlign w:val="top"/>
          </w:tcPr>
          <w:p w14:paraId="322A3105">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张娉/4；高洁/5；朱方亮/7；王社亮/9</w:t>
            </w:r>
          </w:p>
        </w:tc>
        <w:tc>
          <w:tcPr>
            <w:tcW w:w="1077" w:type="dxa"/>
            <w:vAlign w:val="center"/>
          </w:tcPr>
          <w:p w14:paraId="17A75340">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2024年2月—2024年6月</w:t>
            </w:r>
          </w:p>
        </w:tc>
        <w:tc>
          <w:tcPr>
            <w:tcW w:w="1977" w:type="dxa"/>
            <w:vAlign w:val="top"/>
          </w:tcPr>
          <w:p w14:paraId="09318E34">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基于水电储能工厂的多能互补发电系统电源容量配置方法</w:t>
            </w:r>
          </w:p>
        </w:tc>
        <w:tc>
          <w:tcPr>
            <w:tcW w:w="1956" w:type="dxa"/>
            <w:vAlign w:val="center"/>
          </w:tcPr>
          <w:p w14:paraId="4D290D19">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专利证书</w:t>
            </w:r>
          </w:p>
        </w:tc>
      </w:tr>
      <w:tr w14:paraId="602BA8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54" w:type="dxa"/>
            <w:vAlign w:val="center"/>
          </w:tcPr>
          <w:p w14:paraId="7E92D148">
            <w:pPr>
              <w:spacing w:before="156" w:beforeLines="50" w:after="156" w:afterLines="50"/>
              <w:jc w:val="center"/>
              <w:rPr>
                <w:bCs/>
                <w:sz w:val="21"/>
                <w:szCs w:val="21"/>
              </w:rPr>
            </w:pPr>
            <w:r>
              <w:rPr>
                <w:bCs/>
                <w:sz w:val="21"/>
                <w:szCs w:val="21"/>
              </w:rPr>
              <w:t>5</w:t>
            </w:r>
          </w:p>
        </w:tc>
        <w:tc>
          <w:tcPr>
            <w:tcW w:w="1063" w:type="dxa"/>
            <w:vAlign w:val="center"/>
          </w:tcPr>
          <w:p w14:paraId="6173ADC4">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共同知识产权</w:t>
            </w:r>
          </w:p>
        </w:tc>
        <w:tc>
          <w:tcPr>
            <w:tcW w:w="1919" w:type="dxa"/>
            <w:vAlign w:val="top"/>
          </w:tcPr>
          <w:p w14:paraId="2DDE26B9">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赵增海/2；高洁/5；朱方亮/7；张东/10</w:t>
            </w:r>
          </w:p>
        </w:tc>
        <w:tc>
          <w:tcPr>
            <w:tcW w:w="1077" w:type="dxa"/>
            <w:vAlign w:val="center"/>
          </w:tcPr>
          <w:p w14:paraId="3E805DF9">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2024年7月—2024年9月</w:t>
            </w:r>
          </w:p>
        </w:tc>
        <w:tc>
          <w:tcPr>
            <w:tcW w:w="1977" w:type="dxa"/>
            <w:vAlign w:val="top"/>
          </w:tcPr>
          <w:p w14:paraId="5DA20055">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一种考虑分区互济的电力系统电力电量平衡方法</w:t>
            </w:r>
          </w:p>
        </w:tc>
        <w:tc>
          <w:tcPr>
            <w:tcW w:w="1956" w:type="dxa"/>
            <w:vAlign w:val="center"/>
          </w:tcPr>
          <w:p w14:paraId="2AF3A5C8">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专利证书</w:t>
            </w:r>
          </w:p>
        </w:tc>
      </w:tr>
      <w:tr w14:paraId="47503B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954" w:type="dxa"/>
            <w:vAlign w:val="center"/>
          </w:tcPr>
          <w:p w14:paraId="05ECDF5F">
            <w:pPr>
              <w:spacing w:before="156" w:beforeLines="50" w:after="156" w:afterLines="50"/>
              <w:jc w:val="center"/>
              <w:rPr>
                <w:bCs/>
                <w:sz w:val="21"/>
                <w:szCs w:val="21"/>
              </w:rPr>
            </w:pPr>
            <w:r>
              <w:rPr>
                <w:bCs/>
                <w:sz w:val="21"/>
                <w:szCs w:val="21"/>
              </w:rPr>
              <w:t>6</w:t>
            </w:r>
          </w:p>
        </w:tc>
        <w:tc>
          <w:tcPr>
            <w:tcW w:w="1063" w:type="dxa"/>
            <w:vAlign w:val="center"/>
          </w:tcPr>
          <w:p w14:paraId="6B41E5F3">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论文合著</w:t>
            </w:r>
          </w:p>
        </w:tc>
        <w:tc>
          <w:tcPr>
            <w:tcW w:w="1919" w:type="dxa"/>
            <w:vAlign w:val="top"/>
          </w:tcPr>
          <w:p w14:paraId="5A1F7C15">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陈帝伊/1；赵子文/8</w:t>
            </w:r>
          </w:p>
        </w:tc>
        <w:tc>
          <w:tcPr>
            <w:tcW w:w="1077" w:type="dxa"/>
            <w:vAlign w:val="center"/>
          </w:tcPr>
          <w:p w14:paraId="04E8258C">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2024年</w:t>
            </w:r>
          </w:p>
        </w:tc>
        <w:tc>
          <w:tcPr>
            <w:tcW w:w="1977" w:type="dxa"/>
            <w:vAlign w:val="top"/>
          </w:tcPr>
          <w:p w14:paraId="58F51F42">
            <w:pPr>
              <w:pStyle w:val="8"/>
              <w:keepNext w:val="0"/>
              <w:keepLines w:val="0"/>
              <w:widowControl/>
              <w:suppressLineNumbers w:val="0"/>
              <w:spacing w:before="0" w:beforeAutospacing="0" w:after="0" w:afterAutospacing="0"/>
              <w:ind w:left="0" w:leftChars="0" w:right="0" w:rightChars="0"/>
              <w:jc w:val="center"/>
              <w:rPr>
                <w:sz w:val="21"/>
                <w:szCs w:val="21"/>
              </w:rPr>
            </w:pPr>
            <w:r>
              <w:rPr>
                <w:sz w:val="21"/>
                <w:szCs w:val="21"/>
              </w:rPr>
              <w:t>考虑避振条件的水风光互补发电系统运行经济性评估</w:t>
            </w:r>
          </w:p>
        </w:tc>
        <w:tc>
          <w:tcPr>
            <w:tcW w:w="1956" w:type="dxa"/>
            <w:vAlign w:val="center"/>
          </w:tcPr>
          <w:p w14:paraId="4EBD180B">
            <w:pPr>
              <w:pStyle w:val="8"/>
              <w:keepNext w:val="0"/>
              <w:keepLines w:val="0"/>
              <w:widowControl/>
              <w:suppressLineNumbers w:val="0"/>
              <w:spacing w:before="0" w:beforeAutospacing="0" w:after="0" w:afterAutospacing="0"/>
              <w:ind w:left="0" w:leftChars="0" w:right="0" w:rightChars="0"/>
              <w:jc w:val="center"/>
              <w:rPr>
                <w:bCs/>
                <w:sz w:val="21"/>
                <w:szCs w:val="21"/>
              </w:rPr>
            </w:pPr>
            <w:r>
              <w:rPr>
                <w:sz w:val="21"/>
                <w:szCs w:val="21"/>
              </w:rPr>
              <w:t>论文首页</w:t>
            </w:r>
          </w:p>
        </w:tc>
      </w:tr>
      <w:tr w14:paraId="144DE4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8946" w:type="dxa"/>
            <w:gridSpan w:val="6"/>
            <w:vAlign w:val="center"/>
          </w:tcPr>
          <w:p w14:paraId="6BD0BC05">
            <w:pPr>
              <w:spacing w:before="156" w:beforeLines="50" w:after="156" w:afterLines="50"/>
              <w:rPr>
                <w:bCs/>
                <w:sz w:val="24"/>
              </w:rPr>
            </w:pPr>
            <w:r>
              <w:rPr>
                <w:rFonts w:hint="eastAsia"/>
                <w:bCs/>
                <w:sz w:val="24"/>
              </w:rPr>
              <w:t>完成人合作关系说明（限1000字）：</w:t>
            </w:r>
          </w:p>
          <w:p w14:paraId="3C7B4294">
            <w:pPr>
              <w:pStyle w:val="8"/>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0" w:right="0" w:firstLine="480" w:firstLineChars="200"/>
              <w:textAlignment w:val="auto"/>
              <w:rPr>
                <w:rFonts w:hint="eastAsia"/>
              </w:rPr>
            </w:pPr>
            <w:r>
              <w:rPr>
                <w:rFonts w:hint="eastAsia"/>
              </w:rPr>
              <w:t>参加2026年度陕西省科学技术奖申报的“</w:t>
            </w:r>
            <w:r>
              <w:rPr>
                <w:rFonts w:hint="eastAsia"/>
                <w:lang w:eastAsia="zh-CN"/>
              </w:rPr>
              <w:t>面向新型电力系统的水风光多能互补系统动态规划与机组调节特性</w:t>
            </w:r>
            <w:r>
              <w:rPr>
                <w:rFonts w:hint="eastAsia"/>
              </w:rPr>
              <w:t>”项目，主要由中国电建集团西北勘测设计研究院有限公司、西北农林科技大学、水电水利规划设计总院有限公司3个单位共同完成并联合申报。各单位分工明确，围绕水风光动态规划、水电机组灵活性提升、多时间尺度协同调控与全生命周期评价等关键技术实行联合攻关，对项目涉及的规划、改造、控制和工程应用开展了深入合作研究。项目主要完成人为陈帝伊、赵增海、益波、张娉、高洁、张军智、朱方亮、赵子文、王社亮、张东。</w:t>
            </w:r>
          </w:p>
          <w:p w14:paraId="56187BBC">
            <w:pPr>
              <w:pStyle w:val="8"/>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0" w:right="0" w:firstLine="480" w:firstLineChars="200"/>
              <w:textAlignment w:val="auto"/>
              <w:rPr>
                <w:rFonts w:hint="eastAsia"/>
              </w:rPr>
            </w:pPr>
            <w:r>
              <w:rPr>
                <w:rFonts w:hint="eastAsia"/>
              </w:rPr>
              <w:t>项目第一完成人西北农林科技大学陈帝伊，主要负责总体技术路线规划和主持全面工作。陈帝伊通过黄河尼那“水光储一体化”清洁能源基地容量配置专题研究，与中国电建集团西北勘测设计研究院有限公司益波、张娉、王社亮开展水电、抽水蓄能电站与新能源联合优化运行研究；与水电水利规划设计总院有限公司赵增海、朱方亮及中国电建集团西北勘测设计研究院有限公司益波、王社亮共同完成黄河上游及北干流多能互补基地规划研究，破解了水风光储多能互补系统时空供需失衡与规划模型求解难题；与中国电建集团西北勘测设计研究院有限公司张军智共同完成发明专利《水光储一体化系统配置储能泵的短期优化调度方法》；与西北农林科技大学赵子文合作完成论文《考虑避振条件的水风光互补发电系统运行经济性评估》。</w:t>
            </w:r>
          </w:p>
          <w:p w14:paraId="7E7E3618">
            <w:pPr>
              <w:pStyle w:val="8"/>
              <w:keepNext w:val="0"/>
              <w:keepLines w:val="0"/>
              <w:pageBreakBefore w:val="0"/>
              <w:widowControl/>
              <w:suppressLineNumbers w:val="0"/>
              <w:kinsoku/>
              <w:wordWrap/>
              <w:overflowPunct/>
              <w:topLinePunct w:val="0"/>
              <w:autoSpaceDE/>
              <w:autoSpaceDN/>
              <w:bidi w:val="0"/>
              <w:adjustRightInd/>
              <w:snapToGrid/>
              <w:spacing w:before="0" w:beforeAutospacing="1" w:after="0" w:afterAutospacing="1"/>
              <w:ind w:left="0" w:right="0" w:firstLine="480" w:firstLineChars="200"/>
              <w:textAlignment w:val="auto"/>
            </w:pPr>
            <w:r>
              <w:rPr>
                <w:rFonts w:hint="eastAsia"/>
              </w:rPr>
              <w:t>中国电建集团西北勘测设计研究院有限公司张娉、王社亮与水电水利规划设计总院有限公司高洁、朱方亮共同完成发明专利《基于水电储能工厂的多能互补发电系统电源容量配置方法》；水电水利规划设计总院有限公司赵增海、高洁、朱方亮、张东共同完成发明专利《一种考虑分区互济的电力系统电力电量平衡方法》。相关成果在黄河上游水电基地、拉西瓦水电站、李家峡水电站、玛尔挡水电站等工程中得到应用。</w:t>
            </w:r>
          </w:p>
          <w:p w14:paraId="373095E8">
            <w:pPr>
              <w:spacing w:before="156" w:beforeLines="50" w:after="156" w:afterLines="50"/>
              <w:rPr>
                <w:rFonts w:hint="eastAsia"/>
                <w:bCs/>
                <w:sz w:val="24"/>
              </w:rPr>
            </w:pPr>
          </w:p>
          <w:p w14:paraId="5E0C2E02">
            <w:pPr>
              <w:spacing w:before="156" w:beforeLines="50" w:after="156" w:afterLines="50"/>
              <w:rPr>
                <w:bCs/>
                <w:sz w:val="24"/>
              </w:rPr>
            </w:pPr>
          </w:p>
        </w:tc>
      </w:tr>
    </w:tbl>
    <w:p w14:paraId="75CC6548">
      <w:pPr>
        <w:jc w:val="both"/>
        <w:rPr>
          <w:rFonts w:ascii="仿宋" w:hAnsi="仿宋" w:eastAsia="仿宋"/>
          <w:bCs/>
          <w:sz w:val="32"/>
          <w:szCs w:val="32"/>
        </w:rPr>
      </w:pPr>
    </w:p>
    <w:sectPr>
      <w:pgSz w:w="11906" w:h="16838"/>
      <w:pgMar w:top="1440"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方正舒体"/>
    <w:panose1 w:val="02010601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等线">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FA6AEE"/>
    <w:multiLevelType w:val="multilevel"/>
    <w:tmpl w:val="65FA6AEE"/>
    <w:lvl w:ilvl="0" w:tentative="0">
      <w:start w:val="1"/>
      <w:numFmt w:val="japaneseCounting"/>
      <w:lvlText w:val="%1、"/>
      <w:lvlJc w:val="left"/>
      <w:pPr>
        <w:ind w:left="480" w:hanging="48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2044"/>
    <w:rsid w:val="0008040A"/>
    <w:rsid w:val="001406AD"/>
    <w:rsid w:val="00176D91"/>
    <w:rsid w:val="003423DB"/>
    <w:rsid w:val="00367771"/>
    <w:rsid w:val="00426302"/>
    <w:rsid w:val="0052513A"/>
    <w:rsid w:val="00525A72"/>
    <w:rsid w:val="00573858"/>
    <w:rsid w:val="0064103D"/>
    <w:rsid w:val="0064779C"/>
    <w:rsid w:val="008E0C8B"/>
    <w:rsid w:val="009A0C31"/>
    <w:rsid w:val="009C1BDF"/>
    <w:rsid w:val="00A05941"/>
    <w:rsid w:val="00B84623"/>
    <w:rsid w:val="00BF0BA5"/>
    <w:rsid w:val="00C82044"/>
    <w:rsid w:val="00E10BAE"/>
    <w:rsid w:val="00E36EB4"/>
    <w:rsid w:val="00EB7B02"/>
    <w:rsid w:val="00ED06C7"/>
    <w:rsid w:val="00F0079B"/>
    <w:rsid w:val="0C7A0A48"/>
    <w:rsid w:val="14016D9A"/>
    <w:rsid w:val="1AE3008B"/>
    <w:rsid w:val="23EF45AB"/>
    <w:rsid w:val="33595789"/>
    <w:rsid w:val="4A597D20"/>
    <w:rsid w:val="69332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Plain Text"/>
    <w:basedOn w:val="1"/>
    <w:link w:val="15"/>
    <w:qFormat/>
    <w:uiPriority w:val="0"/>
    <w:pPr>
      <w:spacing w:line="360" w:lineRule="auto"/>
      <w:ind w:firstLine="480" w:firstLineChars="200"/>
    </w:pPr>
    <w:rPr>
      <w:rFonts w:ascii="仿宋_GB2312"/>
      <w:sz w:val="24"/>
    </w:rPr>
  </w:style>
  <w:style w:type="paragraph" w:styleId="4">
    <w:name w:val="Balloon Text"/>
    <w:basedOn w:val="1"/>
    <w:link w:val="17"/>
    <w:qFormat/>
    <w:uiPriority w:val="0"/>
    <w:rPr>
      <w:sz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semiHidden/>
    <w:unhideWhenUsed/>
    <w:qFormat/>
    <w:uiPriority w:val="99"/>
    <w:pPr>
      <w:spacing w:beforeAutospacing="1" w:afterAutospacing="1"/>
      <w:jc w:val="left"/>
    </w:pPr>
    <w:rPr>
      <w:rFonts w:cs="Times New Roman"/>
      <w:kern w:val="0"/>
      <w:sz w:val="24"/>
    </w:rPr>
  </w:style>
  <w:style w:type="table" w:styleId="10">
    <w:name w:val="Table Grid"/>
    <w:basedOn w:val="9"/>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TML Code"/>
    <w:basedOn w:val="11"/>
    <w:semiHidden/>
    <w:unhideWhenUsed/>
    <w:qFormat/>
    <w:uiPriority w:val="99"/>
    <w:rPr>
      <w:rFonts w:ascii="Courier New" w:hAnsi="Courier New"/>
      <w:sz w:val="20"/>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character" w:customStyle="1" w:styleId="15">
    <w:name w:val="纯文本 字符"/>
    <w:basedOn w:val="11"/>
    <w:link w:val="3"/>
    <w:qFormat/>
    <w:uiPriority w:val="0"/>
    <w:rPr>
      <w:rFonts w:ascii="仿宋_GB2312" w:hAnsi="Times New Roman" w:eastAsia="宋体" w:cs="Times New Roman"/>
      <w:sz w:val="24"/>
      <w:szCs w:val="20"/>
    </w:rPr>
  </w:style>
  <w:style w:type="paragraph" w:styleId="16">
    <w:name w:val="List Paragraph"/>
    <w:basedOn w:val="1"/>
    <w:qFormat/>
    <w:uiPriority w:val="34"/>
    <w:pPr>
      <w:ind w:firstLine="420" w:firstLineChars="200"/>
    </w:pPr>
  </w:style>
  <w:style w:type="character" w:customStyle="1" w:styleId="17">
    <w:name w:val="批注框文本 字符"/>
    <w:basedOn w:val="11"/>
    <w:link w:val="4"/>
    <w:qFormat/>
    <w:uiPriority w:val="0"/>
    <w:rPr>
      <w:rFonts w:ascii="Times New Roman" w:hAnsi="Times New Roman" w:eastAsia="宋体" w:cs="Times New Roman"/>
      <w:sz w:val="18"/>
      <w:szCs w:val="20"/>
    </w:rPr>
  </w:style>
  <w:style w:type="paragraph" w:customStyle="1" w:styleId="18">
    <w:name w:val="_Style 8"/>
    <w:basedOn w:val="1"/>
    <w:next w:val="1"/>
    <w:qFormat/>
    <w:uiPriority w:val="0"/>
    <w:pPr>
      <w:spacing w:line="360" w:lineRule="auto"/>
      <w:ind w:firstLine="480" w:firstLineChars="200"/>
    </w:pPr>
    <w:rPr>
      <w:rFonts w:ascii="仿宋_GB2312"/>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4865</Words>
  <Characters>5252</Characters>
  <Lines>60</Lines>
  <Paragraphs>50</Paragraphs>
  <TotalTime>0</TotalTime>
  <ScaleCrop>false</ScaleCrop>
  <LinksUpToDate>false</LinksUpToDate>
  <CharactersWithSpaces>5277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2026-07-30T10:55:00Z</dcterms:created>
  <dc:creator>姚虎</dc:creator>
  <cp:lastModifiedBy>x</cp:lastModifiedBy>
  <dcterms:modified xsi:type="dcterms:W3CDTF">2026-08-22T02:46:40Z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eyJoZGlkIjoiYjAyNTE1NGU4NmY5NGRhNjA3ZGQzOTIxYjYwMWNjMmQiLCJ1c2VySWQiOiIzODkzODg3MjUifQ==</vt:lpwstr>
  </property>
  <property fmtid="{D5CDD505-2E9C-101B-9397-08002B2CF9AE}" pid="3" name="KSOProductBuildVer">
    <vt:lpwstr>2052-12.1.0.28043</vt:lpwstr>
  </property>
  <property fmtid="{D5CDD505-2E9C-101B-9397-08002B2CF9AE}" pid="4" name="ICV">
    <vt:lpwstr>F5017D6331FF40D58BA739D5DDFB2670_13</vt:lpwstr>
  </property>
</Properties>
</file>