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B7601">
      <w:pPr>
        <w:pStyle w:val="17"/>
        <w:rPr>
          <w:rFonts w:hint="eastAsia" w:cs="方正小标宋简体" w:asciiTheme="majorEastAsia" w:hAnsiTheme="majorEastAsia" w:eastAsiaTheme="majorEastAsia"/>
          <w:b/>
          <w:bCs/>
          <w:color w:val="auto"/>
          <w:kern w:val="2"/>
          <w:sz w:val="36"/>
          <w:szCs w:val="36"/>
          <w:highlight w:val="none"/>
          <w:shd w:val="clear" w:color="auto" w:fill="auto"/>
          <w:lang w:val="en-US" w:eastAsia="zh-CN" w:bidi="ar-SA"/>
        </w:rPr>
      </w:pPr>
      <w:r>
        <w:rPr>
          <w:rFonts w:hint="eastAsia" w:cs="方正小标宋简体" w:asciiTheme="majorEastAsia" w:hAnsiTheme="majorEastAsia" w:eastAsiaTheme="majorEastAsia"/>
          <w:b/>
          <w:bCs/>
          <w:color w:val="auto"/>
          <w:kern w:val="2"/>
          <w:sz w:val="36"/>
          <w:szCs w:val="36"/>
          <w:highlight w:val="none"/>
          <w:shd w:val="clear" w:color="auto" w:fill="auto"/>
          <w:lang w:val="en-US" w:eastAsia="zh-CN" w:bidi="ar-SA"/>
        </w:rPr>
        <w:t>西北农林科技大学水利与建筑工程学院</w:t>
      </w:r>
      <w:r>
        <w:rPr>
          <w:rFonts w:hint="eastAsia" w:cs="方正小标宋简体" w:asciiTheme="majorEastAsia" w:hAnsiTheme="majorEastAsia" w:eastAsiaTheme="majorEastAsia"/>
          <w:b/>
          <w:bCs/>
          <w:color w:val="auto"/>
          <w:kern w:val="2"/>
          <w:sz w:val="36"/>
          <w:szCs w:val="36"/>
          <w:highlight w:val="none"/>
          <w:shd w:val="clear" w:color="auto" w:fill="auto"/>
          <w:lang w:val="en-US" w:eastAsia="zh-CN" w:bidi="ar-SA"/>
        </w:rPr>
        <w:br w:type="textWrapping"/>
      </w:r>
      <w:r>
        <w:rPr>
          <w:rFonts w:hint="eastAsia" w:cs="方正小标宋简体" w:asciiTheme="majorEastAsia" w:hAnsiTheme="majorEastAsia" w:eastAsiaTheme="majorEastAsia"/>
          <w:b/>
          <w:bCs/>
          <w:color w:val="auto"/>
          <w:kern w:val="2"/>
          <w:sz w:val="36"/>
          <w:szCs w:val="36"/>
          <w:highlight w:val="none"/>
          <w:shd w:val="clear" w:color="auto" w:fill="auto"/>
          <w:lang w:val="en-US" w:eastAsia="zh-CN" w:bidi="ar-SA"/>
        </w:rPr>
        <w:t>本科生综合素质能力测评实施办法</w:t>
      </w:r>
    </w:p>
    <w:p w14:paraId="2C1D18E0">
      <w:pPr>
        <w:pStyle w:val="16"/>
        <w:numPr>
          <w:ilvl w:val="0"/>
          <w:numId w:val="1"/>
        </w:numPr>
        <w:rPr>
          <w:rFonts w:hint="eastAsia" w:ascii="黑体" w:hAnsi="黑体" w:eastAsia="黑体" w:cs="黑体"/>
          <w:b/>
          <w:bCs/>
          <w:color w:val="auto"/>
          <w:kern w:val="2"/>
          <w:sz w:val="32"/>
          <w:szCs w:val="32"/>
          <w:highlight w:val="none"/>
          <w:shd w:val="clear" w:color="auto" w:fill="auto"/>
          <w:lang w:val="en-US" w:eastAsia="zh-CN" w:bidi="ar-SA"/>
        </w:rPr>
      </w:pPr>
      <w:r>
        <w:rPr>
          <w:rFonts w:hint="eastAsia" w:ascii="黑体" w:hAnsi="黑体" w:eastAsia="黑体" w:cs="黑体"/>
          <w:b/>
          <w:bCs/>
          <w:color w:val="auto"/>
          <w:kern w:val="2"/>
          <w:sz w:val="32"/>
          <w:szCs w:val="32"/>
          <w:highlight w:val="none"/>
          <w:shd w:val="clear" w:color="auto" w:fill="auto"/>
          <w:lang w:val="en-US" w:eastAsia="zh-CN" w:bidi="ar-SA"/>
        </w:rPr>
        <w:t>总则</w:t>
      </w:r>
    </w:p>
    <w:p w14:paraId="7F328569">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生综合素质能力评价是学校落实立德树人根本任务、培养卓越农林人才的重要环节。为发挥评价在大学生成长过程中的导向和激励作用，促进学生成长为德智体美劳全面发展的卓越农林人才，参照《西北农林科技大学本科生素质能力测评实施办法》（党办发〔2025〕16号），结合水利与建筑工程学院实际，制定本办法。</w:t>
      </w:r>
    </w:p>
    <w:p w14:paraId="4B331C7A">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学校本科生综合素质能力测评工作坚持以习近平新时代中国特色社会主义思想为指导，深入落实习近平总书记关于教育的重要论述，全面贯彻党的教育方针，牢牢把握立德树人根本任务，紧密围绕学校“知农爱农、强农兴农”的人才培养定位，坚持以学生全面发展为中心，系统构建服务国家战略、体现时代要求、具有西农特色的综合素质能力评价体系，努力培养堪当民族复兴大任的卓越农林人才。</w:t>
      </w:r>
    </w:p>
    <w:p w14:paraId="606DAEDF">
      <w:pPr>
        <w:pStyle w:val="11"/>
        <w:widowControl/>
        <w:numPr>
          <w:ilvl w:val="0"/>
          <w:numId w:val="2"/>
        </w:numPr>
        <w:ind w:left="0" w:leftChars="0" w:firstLine="482" w:firstLineChars="0"/>
        <w:rPr>
          <w:rFonts w:ascii="Times New Roman" w:hAnsi="Times New Roman" w:eastAsia="宋体" w:cs="Times New Roman"/>
          <w:b/>
          <w:color w:val="auto"/>
          <w:sz w:val="24"/>
          <w:szCs w:val="24"/>
          <w:highlight w:val="none"/>
        </w:rPr>
      </w:pPr>
      <w:r>
        <w:rPr>
          <w:rFonts w:hint="eastAsia" w:ascii="仿宋" w:hAnsi="仿宋" w:eastAsia="仿宋" w:cs="Times New Roman"/>
          <w:color w:val="auto"/>
          <w:kern w:val="2"/>
          <w:sz w:val="28"/>
          <w:szCs w:val="28"/>
          <w:highlight w:val="none"/>
          <w:shd w:val="clear" w:color="auto" w:fill="auto"/>
          <w:lang w:val="en-US" w:eastAsia="zh-CN" w:bidi="ar-SA"/>
        </w:rPr>
        <w:t>坚持促进学生全面发展与彰显学校办学特色相结合，坚持遵循教育规律与学生成长成才规律，坚持定性与定量、评议与纪实、过程与结果相结合，构建以“品德修养”为魂、“专业学习”为本、“素质发展”为基、“能力拓展”为翼的“四维协同”“五育融合”的综合素质能力评价格局，强化价值引领，明确成长导向，突出发展高线，着力提升学生核心素养与综合竞争力。</w:t>
      </w:r>
    </w:p>
    <w:p w14:paraId="730C634F">
      <w:pPr>
        <w:pStyle w:val="16"/>
        <w:numPr>
          <w:ilvl w:val="0"/>
          <w:numId w:val="1"/>
        </w:numPr>
        <w:rPr>
          <w:b/>
          <w:bCs/>
          <w:highlight w:val="none"/>
        </w:rPr>
      </w:pPr>
      <w:r>
        <w:rPr>
          <w:b/>
          <w:bCs/>
          <w:highlight w:val="none"/>
        </w:rPr>
        <w:t>组织领导及纪律</w:t>
      </w:r>
    </w:p>
    <w:p w14:paraId="4F0CAB4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设立学生综合素质能力测评领导小组（以下简称“领导小组”），由学院主管学生工作领导担任组长，学院各年级辅导员、班主任、团委及学生会主要成员参与。学院领导小组主要负责在本实施办法基础上制定符合学院实际情况的本科生综合素质能力测评实施细则，指导本单位学生综合素质能力测评工作，保证测评工作公平、公正、公开。学院团委素拓部负责检查、督促测评资料的统计、整理和存档工作。素质能力测评加分及扣分名单由学院团委及学生会各部门在活动结束后1—2周内，经学院团委、学生会指导老师签字，提交学院领导小组，审核无误后下发加分及扣分到各班级。</w:t>
      </w:r>
    </w:p>
    <w:p w14:paraId="3A521208">
      <w:pPr>
        <w:pStyle w:val="11"/>
        <w:widowControl/>
        <w:numPr>
          <w:ilvl w:val="0"/>
          <w:numId w:val="2"/>
        </w:numPr>
        <w:ind w:left="0" w:leftChars="0" w:firstLine="482"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学院成立院综合素质能力测评工作组（党委副书记为组长，辅导员为成员），依次向下成立年级综合素质能力测评工作组（年级辅导员为组长，班主任和团学负责人为成员）、班级评议小组（班主任为</w:t>
      </w:r>
      <w:r>
        <w:rPr>
          <w:rFonts w:hint="eastAsia" w:ascii="仿宋" w:hAnsi="仿宋" w:eastAsia="仿宋" w:cs="仿宋_GB2312"/>
          <w:color w:val="auto"/>
          <w:kern w:val="0"/>
          <w:sz w:val="28"/>
          <w:szCs w:val="28"/>
          <w:highlight w:val="none"/>
          <w:u w:color="000000"/>
          <w:shd w:val="clear" w:color="auto" w:fill="auto"/>
          <w:lang w:val="en-US" w:eastAsia="zh-CN" w:bidi="ar-SA"/>
        </w:rPr>
        <w:t>组长，班长、团支书和班级各宿舍代表为成员）。</w:t>
      </w:r>
    </w:p>
    <w:p w14:paraId="366A249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综合素测能力工作组的职责：</w:t>
      </w:r>
    </w:p>
    <w:p w14:paraId="16362FFC">
      <w:pPr>
        <w:pStyle w:val="11"/>
        <w:numPr>
          <w:ilvl w:val="0"/>
          <w:numId w:val="3"/>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在领导小组的指导下开展本专业年级学生综合素质能力测评工作；</w:t>
      </w:r>
    </w:p>
    <w:p w14:paraId="38A997DE">
      <w:pPr>
        <w:pStyle w:val="11"/>
        <w:numPr>
          <w:ilvl w:val="0"/>
          <w:numId w:val="3"/>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负责审查核准相关测评数据；</w:t>
      </w:r>
    </w:p>
    <w:p w14:paraId="6DB25FD7">
      <w:pPr>
        <w:pStyle w:val="11"/>
        <w:numPr>
          <w:ilvl w:val="0"/>
          <w:numId w:val="3"/>
        </w:numPr>
        <w:topLinePunct w:val="0"/>
        <w:ind w:left="0" w:leftChars="0" w:firstLine="480" w:firstLineChars="0"/>
      </w:pPr>
      <w:r>
        <w:rPr>
          <w:rFonts w:hint="eastAsia" w:ascii="仿宋" w:hAnsi="仿宋" w:eastAsia="仿宋" w:cs="仿宋_GB2312"/>
          <w:color w:val="auto"/>
          <w:kern w:val="0"/>
          <w:sz w:val="28"/>
          <w:szCs w:val="28"/>
          <w:highlight w:val="none"/>
          <w:u w:color="000000"/>
          <w:shd w:val="clear" w:color="auto" w:fill="auto"/>
          <w:lang w:val="en-US" w:eastAsia="zh-CN" w:bidi="ar-SA"/>
        </w:rPr>
        <w:t>协调统一本专业班级间的测评工作；</w:t>
      </w:r>
    </w:p>
    <w:p w14:paraId="2FE9E889">
      <w:pPr>
        <w:pStyle w:val="11"/>
        <w:numPr>
          <w:ilvl w:val="0"/>
          <w:numId w:val="3"/>
        </w:numPr>
        <w:topLinePunct w:val="0"/>
        <w:ind w:left="0" w:leftChars="0" w:firstLine="480" w:firstLineChars="0"/>
      </w:pPr>
      <w:r>
        <w:rPr>
          <w:rFonts w:hint="eastAsia" w:ascii="仿宋" w:hAnsi="仿宋" w:eastAsia="仿宋" w:cs="仿宋_GB2312"/>
          <w:color w:val="auto"/>
          <w:kern w:val="0"/>
          <w:sz w:val="28"/>
          <w:szCs w:val="28"/>
          <w:highlight w:val="none"/>
          <w:u w:color="000000"/>
          <w:shd w:val="clear" w:color="auto" w:fill="auto"/>
          <w:lang w:val="en-US" w:eastAsia="zh-CN" w:bidi="ar-SA"/>
        </w:rPr>
        <w:t>做好综合素质能力测评互评分等支撑材料的记录、收集、整理、保存工作；</w:t>
      </w:r>
    </w:p>
    <w:p w14:paraId="41A97A3C">
      <w:pPr>
        <w:pStyle w:val="11"/>
        <w:numPr>
          <w:ilvl w:val="0"/>
          <w:numId w:val="3"/>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填写综合素质能力测评工作中有关表格并上报。</w:t>
      </w:r>
    </w:p>
    <w:p w14:paraId="6CDC36E8">
      <w:pPr>
        <w:pStyle w:val="16"/>
        <w:numPr>
          <w:ilvl w:val="0"/>
          <w:numId w:val="1"/>
        </w:numPr>
        <w:rPr>
          <w:b/>
          <w:bCs/>
          <w:highlight w:val="none"/>
        </w:rPr>
      </w:pPr>
      <w:r>
        <w:rPr>
          <w:b/>
          <w:bCs/>
          <w:highlight w:val="none"/>
        </w:rPr>
        <w:t>测评程序和纪律</w:t>
      </w:r>
    </w:p>
    <w:p w14:paraId="48689A6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综合素质能力测评每学年进行一次，一般于新学年开学后一个月内完成。</w:t>
      </w:r>
    </w:p>
    <w:p w14:paraId="2C27E9F5">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学生素质能力测评程序：</w:t>
      </w:r>
    </w:p>
    <w:p w14:paraId="7D7C2348">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学生根据学院测评细则提供个人相关支撑材料；</w:t>
      </w:r>
    </w:p>
    <w:p w14:paraId="0B7889D1">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工作组对学生提供的相关材料进行审核和统计后，生成学生测评成绩、专业年级排名、班级排名；</w:t>
      </w:r>
    </w:p>
    <w:p w14:paraId="02804C01">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工作组向学生反馈测评成绩、专业年级排名、班级排名，无误后由学生本人签字确认；</w:t>
      </w:r>
    </w:p>
    <w:p w14:paraId="254FD930">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工作组在各专业年级范围内将学生的测评成绩、详细加分项目明细、专业年级排名、班级排名公示不少于3个工作日。参评学生如有异议，可在公示期内向测评工作组提出复评。对复评结果仍有异议者，可向领导小组申诉；</w:t>
      </w:r>
    </w:p>
    <w:p w14:paraId="5B2790C4">
      <w:pPr>
        <w:pStyle w:val="11"/>
        <w:numPr>
          <w:ilvl w:val="0"/>
          <w:numId w:val="4"/>
        </w:numPr>
        <w:topLinePunct w:val="0"/>
        <w:ind w:left="0" w:leftChars="0" w:firstLine="480" w:firstLineChars="0"/>
        <w:rPr>
          <w:rFonts w:hint="eastAsia" w:ascii="仿宋" w:hAnsi="仿宋" w:eastAsia="仿宋" w:cs="仿宋_GB2312"/>
          <w:color w:val="auto"/>
          <w:kern w:val="0"/>
          <w:sz w:val="28"/>
          <w:szCs w:val="28"/>
          <w:highlight w:val="none"/>
          <w:u w:color="000000"/>
          <w:shd w:val="clear" w:color="auto" w:fill="auto"/>
          <w:lang w:val="en-US" w:eastAsia="zh-CN" w:bidi="ar-SA"/>
        </w:rPr>
      </w:pPr>
      <w:r>
        <w:rPr>
          <w:rFonts w:hint="eastAsia" w:ascii="仿宋" w:hAnsi="仿宋" w:eastAsia="仿宋" w:cs="仿宋_GB2312"/>
          <w:color w:val="auto"/>
          <w:kern w:val="0"/>
          <w:sz w:val="28"/>
          <w:szCs w:val="28"/>
          <w:highlight w:val="none"/>
          <w:u w:color="000000"/>
          <w:shd w:val="clear" w:color="auto" w:fill="auto"/>
          <w:lang w:val="en-US" w:eastAsia="zh-CN" w:bidi="ar-SA"/>
        </w:rPr>
        <w:t>公示无异议后，素测工作组将学生测评成绩及排名报送本单位领导小组审核、备案后以专业年级为单位存档。</w:t>
      </w:r>
    </w:p>
    <w:p w14:paraId="12E9988C">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学院须组织学生填写《本科生素质能力测评鉴定表》，由党委学生工作部（处）签署意见、加盖公章后存入学生档案。</w:t>
      </w:r>
    </w:p>
    <w:p w14:paraId="2A51CE18">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所有参评材料应确保真实准确，如有造假行为，一经查实，将视情节轻重给予相应责任人和集体违纪处理。</w:t>
      </w:r>
    </w:p>
    <w:p w14:paraId="4300323F">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学生综合素质能力测评数据主要来源于《西北农林科技大学大学生第二课堂成绩单》和学生个人提供的支撑材料。</w:t>
      </w:r>
    </w:p>
    <w:p w14:paraId="0A3330B7">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综合素质能力测评成绩在各类评奖评优、推荐免试攻读研究生及优秀毕业生评选等工作中综合使用。学生政治立场、道德品质方面出现严重问题的，测评时“德育”成绩计为不合格，且不得参与学校各类荣誉表彰项目评选。</w:t>
      </w:r>
    </w:p>
    <w:p w14:paraId="49C0D993">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本办法从2025级学生开始实施，2025级以前学生按</w:t>
      </w:r>
      <w:r>
        <w:rPr>
          <w:rFonts w:hint="eastAsia" w:ascii="仿宋" w:hAnsi="仿宋" w:eastAsia="仿宋"/>
          <w:color w:val="auto"/>
          <w:sz w:val="28"/>
          <w:szCs w:val="28"/>
          <w:highlight w:val="none"/>
          <w:shd w:val="clear" w:color="auto" w:fill="auto"/>
        </w:rPr>
        <w:t>《西北农林科技大学本科生素质能力测评实施办法（试行）》（校</w:t>
      </w:r>
      <w:r>
        <w:rPr>
          <w:rFonts w:hint="eastAsia" w:ascii="仿宋" w:hAnsi="仿宋" w:eastAsia="仿宋"/>
          <w:color w:val="auto"/>
          <w:sz w:val="28"/>
          <w:szCs w:val="28"/>
          <w:highlight w:val="none"/>
          <w:shd w:val="clear" w:color="auto" w:fill="auto"/>
          <w:lang w:val="en-US" w:eastAsia="zh-CN"/>
        </w:rPr>
        <w:t>党</w:t>
      </w:r>
      <w:r>
        <w:rPr>
          <w:rFonts w:hint="eastAsia" w:ascii="仿宋" w:hAnsi="仿宋" w:eastAsia="仿宋"/>
          <w:color w:val="auto"/>
          <w:sz w:val="28"/>
          <w:szCs w:val="28"/>
          <w:highlight w:val="none"/>
          <w:shd w:val="clear" w:color="auto" w:fill="auto"/>
        </w:rPr>
        <w:t>发〔2020〕77号）</w:t>
      </w:r>
      <w:r>
        <w:rPr>
          <w:rFonts w:hint="eastAsia" w:ascii="仿宋" w:hAnsi="仿宋" w:eastAsia="仿宋" w:cs="Times New Roman"/>
          <w:color w:val="auto"/>
          <w:kern w:val="2"/>
          <w:sz w:val="28"/>
          <w:szCs w:val="28"/>
          <w:highlight w:val="none"/>
          <w:shd w:val="clear" w:color="auto" w:fill="auto"/>
          <w:lang w:val="en-US" w:eastAsia="zh-CN" w:bidi="ar-SA"/>
        </w:rPr>
        <w:t>执行。</w:t>
      </w:r>
    </w:p>
    <w:p w14:paraId="4D07D1A1">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本办法适用于我校在籍在读的全日制普通本科生，包括学校派出的访学学生、第二学士学位学生。</w:t>
      </w:r>
    </w:p>
    <w:p w14:paraId="5BFDB528">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学校派出的访学学生在访学结束前，由学生所在访学单位鉴定该生在访学期间思想政治、品德修养、有无奖惩等方面的表现，并出具综合鉴定意见和访学期间参加活动记录的书面材料。学生回校参加综合素质能力测评时，由各学院领导小组进行认定</w:t>
      </w:r>
      <w:r>
        <w:rPr>
          <w:rFonts w:hint="eastAsia" w:ascii="仿宋_GB2312" w:hAnsi="宋体" w:eastAsia="仿宋_GB2312" w:cs="仿宋_GB2312"/>
          <w:color w:val="000000"/>
          <w:kern w:val="0"/>
          <w:sz w:val="31"/>
          <w:szCs w:val="31"/>
          <w:lang w:val="en-US" w:eastAsia="zh-CN" w:bidi="ar"/>
        </w:rPr>
        <w:t>。</w:t>
      </w:r>
    </w:p>
    <w:p w14:paraId="11222FCD">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本办法由西北农林科技大学水利与建筑工程学院负责解释。</w:t>
      </w:r>
    </w:p>
    <w:p w14:paraId="3741CCE0">
      <w:pPr>
        <w:pStyle w:val="16"/>
        <w:numPr>
          <w:ilvl w:val="0"/>
          <w:numId w:val="1"/>
        </w:numPr>
        <w:rPr>
          <w:highlight w:val="none"/>
        </w:rPr>
      </w:pPr>
      <w:r>
        <w:rPr>
          <w:highlight w:val="none"/>
        </w:rPr>
        <w:t>测评内容和计分标准</w:t>
      </w:r>
    </w:p>
    <w:p w14:paraId="3F574601">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素质能力测评内容综合测评成绩以百分计，测评内容为测评学年内学生在德育、智育、体育、美育和劳育五个方面的综合表现。</w:t>
      </w:r>
    </w:p>
    <w:p w14:paraId="2FFFF13F">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综合素质能力测评成绩计算公式：综合素质能力测评成绩=德育素质能力测评成绩D×20%+智育素质能力测评成绩Z×50%+体育素质能力测评成绩T×10%+美育素质能力测评成绩M×10%+劳育素质能力测评成绩L×10%。</w:t>
      </w:r>
    </w:p>
    <w:p w14:paraId="43539D9C">
      <w:pPr>
        <w:pStyle w:val="11"/>
        <w:widowControl/>
        <w:numPr>
          <w:ilvl w:val="0"/>
          <w:numId w:val="2"/>
        </w:numPr>
        <w:ind w:left="0" w:leftChars="0" w:firstLine="482" w:firstLineChars="0"/>
        <w:rPr>
          <w:rFonts w:ascii="Times New Roman" w:hAnsi="Times New Roman" w:eastAsia="宋体" w:cs="Times New Roman"/>
          <w:b/>
          <w:color w:val="auto"/>
          <w:sz w:val="24"/>
          <w:szCs w:val="24"/>
          <w:highlight w:val="none"/>
        </w:rPr>
      </w:pPr>
      <w:r>
        <w:rPr>
          <w:rFonts w:hint="eastAsia" w:ascii="仿宋" w:hAnsi="仿宋" w:eastAsia="仿宋" w:cs="Times New Roman"/>
          <w:color w:val="auto"/>
          <w:kern w:val="2"/>
          <w:sz w:val="28"/>
          <w:szCs w:val="28"/>
          <w:highlight w:val="none"/>
          <w:shd w:val="clear" w:color="auto" w:fill="auto"/>
          <w:lang w:val="en-US" w:eastAsia="zh-CN" w:bidi="ar-SA"/>
        </w:rPr>
        <w:t>综合素质能力测评分为基础性评价和成果性评价。基础性评价主要考察学生在道德品质、学业表现、身心健康、行为规范、集体意识与社会责任等方面的基本素养和现实表现；成果性评价主要考察学生在学术科研、创新创业、学科竞赛、社会实践、志愿服务、文体活动及各类荣誉奖励等方面取得的突出成果和实际成效。</w:t>
      </w:r>
    </w:p>
    <w:p w14:paraId="7ADB63F3">
      <w:pPr>
        <w:pStyle w:val="16"/>
        <w:numPr>
          <w:ilvl w:val="0"/>
          <w:numId w:val="1"/>
        </w:numPr>
        <w:rPr>
          <w:highlight w:val="none"/>
        </w:rPr>
      </w:pPr>
      <w:r>
        <w:rPr>
          <w:highlight w:val="none"/>
        </w:rPr>
        <w:t>德育素质测评标准</w:t>
      </w:r>
    </w:p>
    <w:p w14:paraId="3815C0A8">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德育素质测能力测评模块突出大学生思想政治与道德修养，强化对学生的思想、政治、道德、法治和心理健康教育，引导学生养成良好的思想道德品质、心理素质和行为习惯。</w:t>
      </w:r>
    </w:p>
    <w:p w14:paraId="28150D24">
      <w:pPr>
        <w:pStyle w:val="11"/>
        <w:widowControl/>
        <w:numPr>
          <w:ilvl w:val="0"/>
          <w:numId w:val="2"/>
        </w:numPr>
        <w:ind w:left="0" w:leftChars="0" w:firstLine="482" w:firstLineChars="0"/>
        <w:rPr>
          <w:rFonts w:ascii="Times New Roman" w:hAnsi="Times New Roman" w:eastAsia="宋体" w:cs="Times New Roman"/>
          <w:b/>
          <w:sz w:val="24"/>
          <w:szCs w:val="24"/>
        </w:rPr>
      </w:pPr>
      <w:r>
        <w:rPr>
          <w:rFonts w:hint="eastAsia" w:ascii="仿宋" w:hAnsi="仿宋" w:eastAsia="仿宋" w:cs="Times New Roman"/>
          <w:color w:val="auto"/>
          <w:kern w:val="2"/>
          <w:sz w:val="28"/>
          <w:szCs w:val="28"/>
          <w:highlight w:val="none"/>
          <w:shd w:val="clear" w:color="auto" w:fill="auto"/>
          <w:lang w:val="en-US" w:eastAsia="zh-CN" w:bidi="ar-SA"/>
        </w:rPr>
        <w:t>德育素质能力测评内容主要包括学生的政治立场、道德品质、行为修养、日常集体政治理论学习、发挥榜样引领示范作用及服务奉献等方面的表现。德育素质能力测评采用百分制，测评成绩D包括德育基础性评价得分D1、德育成果性评价得分D2和德育扣分D3三部分。该项总分不超过100分，累计得分超过100分的按100分计。</w:t>
      </w:r>
    </w:p>
    <w:p w14:paraId="01040ADA">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德育基础性评价总分为60分，测评内容主要包括品德修养和行为修养两个方面。该项由学生所在班级团支部依据学生日常行为进行综合评价赋分。</w:t>
      </w:r>
    </w:p>
    <w:p w14:paraId="3EFEEC29">
      <w:pPr>
        <w:pStyle w:val="11"/>
        <w:numPr>
          <w:ilvl w:val="0"/>
          <w:numId w:val="5"/>
        </w:numPr>
        <w:topLinePunct w:val="0"/>
        <w:ind w:left="0" w:leftChars="0" w:firstLine="480" w:firstLineChars="0"/>
        <w:rPr>
          <w:rFonts w:hint="eastAsia" w:ascii="仿宋" w:hAnsi="仿宋" w:eastAsia="仿宋" w:cs="仿宋_GB2312"/>
          <w:b/>
          <w:bCs/>
          <w:color w:val="auto"/>
          <w:kern w:val="0"/>
          <w:sz w:val="28"/>
          <w:szCs w:val="28"/>
          <w:highlight w:val="none"/>
          <w:u w:color="000000"/>
          <w:shd w:val="clear" w:color="auto" w:fill="auto"/>
          <w:lang w:val="en-US" w:eastAsia="zh-CN" w:bidi="ar-SA"/>
        </w:rPr>
      </w:pPr>
      <w:r>
        <w:rPr>
          <w:rFonts w:hint="eastAsia" w:ascii="仿宋" w:hAnsi="仿宋" w:eastAsia="仿宋" w:cs="仿宋_GB2312"/>
          <w:b/>
          <w:bCs/>
          <w:color w:val="auto"/>
          <w:kern w:val="0"/>
          <w:sz w:val="28"/>
          <w:szCs w:val="28"/>
          <w:highlight w:val="none"/>
          <w:u w:color="000000"/>
          <w:shd w:val="clear" w:color="auto" w:fill="auto"/>
          <w:lang w:val="en-US" w:eastAsia="zh-CN" w:bidi="ar-SA"/>
        </w:rPr>
        <w:t>政治立场（20分）【班级测评人员】</w:t>
      </w:r>
    </w:p>
    <w:p w14:paraId="5DA2CA99">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坚持四项基本原则（</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7DC56DC9">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热爱祖国，热爱人民（</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3DDA94DE">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有坚定的理想信念（</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4BBB3902">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坚持正确的政治方向（</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318B0AF6">
      <w:pPr>
        <w:pStyle w:val="11"/>
        <w:numPr>
          <w:ilvl w:val="0"/>
          <w:numId w:val="6"/>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立志为中国特色社会主义伟大事业和中华民族伟大复兴努力奋斗（</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p w14:paraId="4569EF63">
      <w:pPr>
        <w:pStyle w:val="11"/>
        <w:rPr>
          <w:rFonts w:hint="eastAsia" w:ascii="仿宋" w:hAnsi="仿宋" w:eastAsia="仿宋" w:cs="仿宋"/>
          <w:b/>
          <w:color w:val="000000"/>
          <w:sz w:val="28"/>
          <w:szCs w:val="28"/>
        </w:rPr>
      </w:pPr>
      <w:r>
        <w:rPr>
          <w:rFonts w:hint="eastAsia" w:ascii="仿宋" w:hAnsi="仿宋" w:eastAsia="仿宋" w:cs="仿宋"/>
          <w:color w:val="auto"/>
          <w:sz w:val="28"/>
          <w:szCs w:val="28"/>
          <w:highlight w:val="none"/>
        </w:rPr>
        <w:t>该项由所在班级评议小组依据学生日常行为进行综合评价赋分。</w:t>
      </w:r>
    </w:p>
    <w:p w14:paraId="5F416F5B">
      <w:pPr>
        <w:pStyle w:val="11"/>
        <w:numPr>
          <w:ilvl w:val="0"/>
          <w:numId w:val="5"/>
        </w:numPr>
        <w:topLinePunct w:val="0"/>
        <w:ind w:left="0" w:leftChars="0" w:firstLine="480" w:firstLineChars="0"/>
        <w:rPr>
          <w:rFonts w:hint="eastAsia" w:ascii="仿宋" w:hAnsi="仿宋" w:eastAsia="仿宋" w:cs="仿宋_GB2312"/>
          <w:b/>
          <w:bCs/>
          <w:color w:val="auto"/>
          <w:kern w:val="0"/>
          <w:sz w:val="28"/>
          <w:szCs w:val="28"/>
          <w:highlight w:val="none"/>
          <w:u w:color="000000"/>
          <w:shd w:val="clear" w:color="auto" w:fill="auto"/>
          <w:lang w:val="en-US" w:eastAsia="zh-CN" w:bidi="ar-SA"/>
        </w:rPr>
      </w:pPr>
      <w:r>
        <w:rPr>
          <w:rFonts w:hint="eastAsia" w:ascii="仿宋" w:hAnsi="仿宋" w:eastAsia="仿宋" w:cs="仿宋_GB2312"/>
          <w:b/>
          <w:bCs/>
          <w:color w:val="auto"/>
          <w:kern w:val="0"/>
          <w:sz w:val="28"/>
          <w:szCs w:val="28"/>
          <w:highlight w:val="none"/>
          <w:u w:color="000000"/>
          <w:shd w:val="clear" w:color="auto" w:fill="auto"/>
          <w:lang w:val="en-US" w:eastAsia="zh-CN" w:bidi="ar-SA"/>
        </w:rPr>
        <w:t>道德品质（20分）【班级测评人员】</w:t>
      </w:r>
    </w:p>
    <w:p w14:paraId="4B109EC7">
      <w:pPr>
        <w:pStyle w:val="11"/>
        <w:numPr>
          <w:ilvl w:val="0"/>
          <w:numId w:val="7"/>
        </w:numPr>
        <w:ind w:left="0" w:leftChars="0" w:firstLine="480" w:firstLineChars="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积极践行社会主义核心价值观。（</w:t>
      </w:r>
      <w:r>
        <w:rPr>
          <w:rFonts w:hint="eastAsia" w:ascii="仿宋" w:hAnsi="仿宋" w:eastAsia="仿宋" w:cs="仿宋"/>
          <w:color w:val="auto"/>
          <w:sz w:val="28"/>
          <w:szCs w:val="28"/>
          <w:highlight w:val="none"/>
          <w:u w:val="none"/>
          <w:lang w:val="en-US" w:eastAsia="zh-CN"/>
        </w:rPr>
        <w:t>8</w:t>
      </w:r>
      <w:r>
        <w:rPr>
          <w:rFonts w:hint="eastAsia" w:ascii="仿宋" w:hAnsi="仿宋" w:eastAsia="仿宋" w:cs="仿宋"/>
          <w:color w:val="auto"/>
          <w:sz w:val="28"/>
          <w:szCs w:val="28"/>
          <w:highlight w:val="none"/>
          <w:u w:val="none"/>
        </w:rPr>
        <w:t>分）</w:t>
      </w:r>
    </w:p>
    <w:p w14:paraId="3E440DE5">
      <w:pPr>
        <w:pStyle w:val="11"/>
        <w:numPr>
          <w:ilvl w:val="0"/>
          <w:numId w:val="7"/>
        </w:numPr>
        <w:ind w:left="0" w:leftChars="0" w:firstLine="480" w:firstLineChars="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自觉遵守国家法律法规与校纪校规，弘扬文明风尚，恪守“明大德、守公德、严私德”的基本要求。（</w:t>
      </w:r>
      <w:r>
        <w:rPr>
          <w:rFonts w:hint="eastAsia" w:ascii="仿宋" w:hAnsi="仿宋" w:eastAsia="仿宋" w:cs="仿宋"/>
          <w:color w:val="auto"/>
          <w:sz w:val="28"/>
          <w:szCs w:val="28"/>
          <w:highlight w:val="none"/>
          <w:u w:val="none"/>
          <w:lang w:val="en-US" w:eastAsia="zh-CN"/>
        </w:rPr>
        <w:t>8</w:t>
      </w:r>
      <w:r>
        <w:rPr>
          <w:rFonts w:hint="eastAsia" w:ascii="仿宋" w:hAnsi="仿宋" w:eastAsia="仿宋" w:cs="仿宋"/>
          <w:color w:val="auto"/>
          <w:sz w:val="28"/>
          <w:szCs w:val="28"/>
          <w:highlight w:val="none"/>
          <w:u w:val="none"/>
        </w:rPr>
        <w:t>分）</w:t>
      </w:r>
    </w:p>
    <w:p w14:paraId="7A41D3C5">
      <w:pPr>
        <w:pStyle w:val="11"/>
        <w:numPr>
          <w:ilvl w:val="0"/>
          <w:numId w:val="7"/>
        </w:numPr>
        <w:ind w:left="0" w:leftChars="0" w:firstLine="480" w:firstLineChars="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具有较强的社会责任意识和良好的集体荣誉感。（</w:t>
      </w:r>
      <w:r>
        <w:rPr>
          <w:rFonts w:hint="eastAsia" w:ascii="仿宋" w:hAnsi="仿宋" w:eastAsia="仿宋" w:cs="仿宋"/>
          <w:color w:val="auto"/>
          <w:sz w:val="28"/>
          <w:szCs w:val="28"/>
          <w:highlight w:val="none"/>
          <w:u w:val="none"/>
          <w:lang w:val="en-US" w:eastAsia="zh-CN"/>
        </w:rPr>
        <w:t>4</w:t>
      </w:r>
      <w:r>
        <w:rPr>
          <w:rFonts w:hint="eastAsia" w:ascii="仿宋" w:hAnsi="仿宋" w:eastAsia="仿宋" w:cs="仿宋"/>
          <w:color w:val="auto"/>
          <w:sz w:val="28"/>
          <w:szCs w:val="28"/>
          <w:highlight w:val="none"/>
          <w:u w:val="none"/>
        </w:rPr>
        <w:t>分）</w:t>
      </w:r>
    </w:p>
    <w:p w14:paraId="19B21AE5">
      <w:pPr>
        <w:pStyle w:val="11"/>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该项由所在班级评议小组依据学生日常行为进行综合评价，受到“警告”处分得分不超过15分，“严重警告”处分得分不超过12.5分，“记过处分”得分不超过10分，“留校察看”得分不超过5分。</w:t>
      </w:r>
    </w:p>
    <w:p w14:paraId="71E4A648">
      <w:pPr>
        <w:pStyle w:val="11"/>
        <w:numPr>
          <w:ilvl w:val="0"/>
          <w:numId w:val="5"/>
        </w:numPr>
        <w:topLinePunct w:val="0"/>
        <w:ind w:left="0" w:leftChars="0" w:firstLine="480" w:firstLineChars="0"/>
        <w:rPr>
          <w:rFonts w:hint="eastAsia" w:ascii="仿宋" w:hAnsi="仿宋" w:eastAsia="仿宋" w:cs="仿宋_GB2312"/>
          <w:b/>
          <w:bCs/>
          <w:color w:val="auto"/>
          <w:kern w:val="0"/>
          <w:sz w:val="28"/>
          <w:szCs w:val="28"/>
          <w:highlight w:val="none"/>
          <w:u w:color="000000"/>
          <w:shd w:val="clear" w:color="auto" w:fill="auto"/>
          <w:lang w:val="en-US" w:eastAsia="zh-CN" w:bidi="ar-SA"/>
        </w:rPr>
      </w:pPr>
      <w:r>
        <w:rPr>
          <w:rFonts w:hint="eastAsia" w:ascii="仿宋" w:hAnsi="仿宋" w:eastAsia="仿宋" w:cs="仿宋_GB2312"/>
          <w:b/>
          <w:bCs/>
          <w:color w:val="auto"/>
          <w:kern w:val="0"/>
          <w:sz w:val="28"/>
          <w:szCs w:val="28"/>
          <w:highlight w:val="none"/>
          <w:u w:color="000000"/>
          <w:shd w:val="clear" w:color="auto" w:fill="auto"/>
          <w:lang w:val="en-US" w:eastAsia="zh-CN" w:bidi="ar-SA"/>
        </w:rPr>
        <w:t>行为修养（20分）【班级互评】</w:t>
      </w:r>
    </w:p>
    <w:p w14:paraId="2F12FDD4">
      <w:pPr>
        <w:pStyle w:val="11"/>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言行文明、举止得体，待人友善、团结互助，与师生保持良好融洽的关系（</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4AF5E02B">
      <w:pPr>
        <w:pStyle w:val="11"/>
        <w:numPr>
          <w:ilvl w:val="0"/>
          <w:numId w:val="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顾全大局，关心集体，能正确处理个人、社会与集体的关系（</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03FFCCEE">
      <w:pPr>
        <w:pStyle w:val="11"/>
        <w:numPr>
          <w:ilvl w:val="0"/>
          <w:numId w:val="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穿戴整洁大方，男女交往行为得体，举止文明谈吐文雅，不参与打架斗殴、酗酒、赌博等不文明行为（</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1E854483">
      <w:pPr>
        <w:pStyle w:val="11"/>
        <w:numPr>
          <w:ilvl w:val="0"/>
          <w:numId w:val="9"/>
        </w:numPr>
        <w:ind w:left="0" w:leftChars="0" w:firstLine="480" w:firstLineChars="0"/>
        <w:rPr>
          <w:rFonts w:hint="eastAsia" w:ascii="仿宋" w:hAnsi="仿宋" w:eastAsia="仿宋" w:cs="仿宋"/>
          <w:b w:val="0"/>
          <w:color w:val="auto"/>
          <w:sz w:val="28"/>
          <w:szCs w:val="28"/>
        </w:rPr>
      </w:pPr>
      <w:r>
        <w:rPr>
          <w:rFonts w:hint="eastAsia" w:ascii="仿宋" w:hAnsi="仿宋" w:eastAsia="仿宋" w:cs="仿宋"/>
          <w:color w:val="auto"/>
          <w:sz w:val="28"/>
          <w:szCs w:val="28"/>
          <w:highlight w:val="none"/>
        </w:rPr>
        <w:t>能主动融入班集体，主动参加班级生活，配合班干部完成班级工作（</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7BEB2704">
      <w:pPr>
        <w:pStyle w:val="11"/>
        <w:widowControl/>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尊敬师长、尊重他人，乐于助人，积极关心集体（</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370A07B6">
      <w:pPr>
        <w:pStyle w:val="11"/>
        <w:numPr>
          <w:ilvl w:val="0"/>
          <w:numId w:val="10"/>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注意提高个人品德修养，遵守社会公德，诚实守信，公道正派（</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7BD23ECD">
      <w:pPr>
        <w:pStyle w:val="11"/>
        <w:widowControl/>
        <w:numPr>
          <w:ilvl w:val="0"/>
          <w:numId w:val="10"/>
        </w:numPr>
        <w:ind w:left="0" w:leftChars="0" w:firstLine="480" w:firstLineChars="0"/>
        <w:rPr>
          <w:rFonts w:hint="eastAsia" w:ascii="仿宋" w:hAnsi="仿宋" w:eastAsia="仿宋" w:cs="仿宋"/>
          <w:b w:val="0"/>
          <w:color w:val="auto"/>
          <w:sz w:val="28"/>
          <w:szCs w:val="28"/>
        </w:rPr>
      </w:pPr>
      <w:r>
        <w:rPr>
          <w:rFonts w:hint="eastAsia" w:ascii="仿宋" w:hAnsi="仿宋" w:eastAsia="仿宋" w:cs="仿宋"/>
          <w:color w:val="auto"/>
          <w:sz w:val="28"/>
          <w:szCs w:val="28"/>
          <w:highlight w:val="none"/>
        </w:rPr>
        <w:t>严于律己，宽以待人，尊敬师长，团结同学（</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07375EB7">
      <w:pPr>
        <w:pStyle w:val="11"/>
        <w:widowControl/>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自觉爱护公共财物，保护校园环境，保持文明卫生习惯，弘扬勤俭节约风尚（</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633FD212">
      <w:pPr>
        <w:pStyle w:val="11"/>
        <w:numPr>
          <w:ilvl w:val="0"/>
          <w:numId w:val="11"/>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遵守宿舍管理规定，不使用违规电器，按时归宿就寝，不影响他人正常学习和休息（</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2E6D985B">
      <w:pPr>
        <w:pStyle w:val="11"/>
        <w:numPr>
          <w:ilvl w:val="0"/>
          <w:numId w:val="11"/>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严格遵守学校文明校园创建规范，不存在校园内举止低俗、教室内饮食、破坏教学设施等有损文明校园创建的不文明行为（</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058B63C8">
      <w:pPr>
        <w:pStyle w:val="11"/>
        <w:numPr>
          <w:ilvl w:val="0"/>
          <w:numId w:val="11"/>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有良好的卫生习惯，自觉清扫环境卫生，不随地吐痰、乱扔垃圾、乱贴乱画，保持学习、生活环境干净整洁（</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2D85E999">
      <w:pPr>
        <w:pStyle w:val="11"/>
        <w:numPr>
          <w:ilvl w:val="0"/>
          <w:numId w:val="11"/>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珍惜公共财物和教学科研设备，保护公共设施，爱护花草树木，尊重他人劳动成果（0.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p w14:paraId="3BB5010E">
      <w:pPr>
        <w:pStyle w:val="11"/>
        <w:widowControl/>
        <w:numPr>
          <w:ilvl w:val="0"/>
          <w:numId w:val="11"/>
        </w:numPr>
        <w:ind w:left="0" w:leftChars="0" w:firstLine="480" w:firstLineChars="0"/>
        <w:rPr>
          <w:rFonts w:hint="eastAsia" w:ascii="仿宋" w:hAnsi="仿宋" w:eastAsia="仿宋" w:cs="仿宋"/>
          <w:b w:val="0"/>
          <w:color w:val="auto"/>
          <w:sz w:val="28"/>
          <w:szCs w:val="28"/>
        </w:rPr>
      </w:pPr>
      <w:r>
        <w:rPr>
          <w:rFonts w:hint="eastAsia" w:ascii="仿宋" w:hAnsi="仿宋" w:eastAsia="仿宋" w:cs="仿宋"/>
          <w:color w:val="auto"/>
          <w:sz w:val="28"/>
          <w:szCs w:val="28"/>
          <w:highlight w:val="none"/>
        </w:rPr>
        <w:t>不损毁和私自拆装宿舍设施（0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p w14:paraId="11EA1CD8">
      <w:pPr>
        <w:pStyle w:val="11"/>
        <w:widowControl/>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保持积极进取、乐观向上的精神状态，注重身心健康发展</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具备较好的自律意识和文明修养水平（</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1DC6F8B1">
      <w:pPr>
        <w:pStyle w:val="11"/>
        <w:widowControl/>
        <w:numPr>
          <w:ilvl w:val="0"/>
          <w:numId w:val="8"/>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能够遵守课堂纪律，不迟到、不早退、不旷课（</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分）；</w:t>
      </w:r>
    </w:p>
    <w:p w14:paraId="051677A8">
      <w:pPr>
        <w:keepNext w:val="0"/>
        <w:keepLines w:val="0"/>
        <w:widowControl/>
        <w:suppressLineNumbers w:val="0"/>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无故迟到、早退，每次扣</w:t>
      </w:r>
      <w:r>
        <w:rPr>
          <w:rFonts w:hint="eastAsia" w:ascii="仿宋" w:hAnsi="仿宋" w:eastAsia="仿宋" w:cs="仿宋"/>
          <w:color w:val="auto"/>
          <w:sz w:val="28"/>
          <w:szCs w:val="28"/>
          <w:highlight w:val="none"/>
          <w:lang w:val="en-US" w:eastAsia="zh-CN"/>
        </w:rPr>
        <w:t>0.2</w:t>
      </w:r>
      <w:r>
        <w:rPr>
          <w:rFonts w:hint="eastAsia" w:ascii="仿宋" w:hAnsi="仿宋" w:eastAsia="仿宋" w:cs="仿宋"/>
          <w:color w:val="auto"/>
          <w:sz w:val="28"/>
          <w:szCs w:val="28"/>
          <w:highlight w:val="none"/>
        </w:rPr>
        <w:t>分，无故旷课（含晚自习及校运会期间出勤情况），每次扣</w:t>
      </w:r>
      <w:r>
        <w:rPr>
          <w:rFonts w:hint="eastAsia" w:ascii="仿宋" w:hAnsi="仿宋" w:eastAsia="仿宋" w:cs="仿宋"/>
          <w:color w:val="auto"/>
          <w:sz w:val="28"/>
          <w:szCs w:val="28"/>
          <w:highlight w:val="none"/>
          <w:lang w:val="en-US" w:eastAsia="zh-CN"/>
        </w:rPr>
        <w:t>0.5</w:t>
      </w:r>
      <w:r>
        <w:rPr>
          <w:rFonts w:hint="eastAsia" w:ascii="仿宋" w:hAnsi="仿宋" w:eastAsia="仿宋" w:cs="仿宋"/>
          <w:color w:val="auto"/>
          <w:sz w:val="28"/>
          <w:szCs w:val="28"/>
          <w:highlight w:val="none"/>
        </w:rPr>
        <w:t>分；夜不归宿者每次扣</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分；（扣完为止）。</w:t>
      </w:r>
    </w:p>
    <w:p w14:paraId="0B1D35D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德育成果性评价总分原则上为40分，累计得分超过40分的以40分计。测评内容主要包括思想进步与理论学习、基层服务与骨干担当、榜样引领与突出荣誉等部分。由各学院测评工作组依据学院测评细则对学生相关表现进行综合评价赋分。</w:t>
      </w:r>
    </w:p>
    <w:p w14:paraId="5079A334">
      <w:pPr>
        <w:pStyle w:val="11"/>
        <w:numPr>
          <w:ilvl w:val="0"/>
          <w:numId w:val="12"/>
        </w:numPr>
        <w:bidi w:val="0"/>
        <w:rPr>
          <w:rFonts w:hint="eastAsia" w:ascii="仿宋" w:hAnsi="仿宋" w:eastAsia="仿宋" w:cs="仿宋"/>
          <w:b/>
          <w:bCs/>
          <w:color w:val="auto"/>
          <w:sz w:val="28"/>
          <w:szCs w:val="28"/>
        </w:rPr>
      </w:pPr>
      <w:r>
        <w:rPr>
          <w:rFonts w:hint="eastAsia" w:ascii="仿宋" w:hAnsi="仿宋" w:eastAsia="仿宋" w:cs="仿宋"/>
          <w:b/>
          <w:bCs/>
          <w:sz w:val="28"/>
          <w:szCs w:val="28"/>
          <w:lang w:val="en-US" w:eastAsia="zh-CN"/>
        </w:rPr>
        <w:t>思想进步与理论学习</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25</w:t>
      </w:r>
      <w:r>
        <w:rPr>
          <w:rFonts w:hint="eastAsia" w:ascii="仿宋" w:hAnsi="仿宋" w:eastAsia="仿宋" w:cs="仿宋"/>
          <w:b/>
          <w:bCs/>
          <w:sz w:val="28"/>
          <w:szCs w:val="28"/>
        </w:rPr>
        <w:t>分）</w:t>
      </w:r>
    </w:p>
    <w:p w14:paraId="4A439EC1">
      <w:pPr>
        <w:pStyle w:val="11"/>
        <w:numPr>
          <w:ilvl w:val="0"/>
          <w:numId w:val="0"/>
        </w:numPr>
        <w:bidi w:val="0"/>
        <w:ind w:firstLine="560" w:firstLineChars="200"/>
        <w:rPr>
          <w:rFonts w:hint="eastAsia" w:ascii="仿宋" w:hAnsi="仿宋" w:eastAsia="仿宋" w:cs="仿宋"/>
          <w:b/>
          <w:color w:val="auto"/>
          <w:sz w:val="28"/>
          <w:szCs w:val="28"/>
          <w:highlight w:val="none"/>
        </w:rPr>
      </w:pPr>
      <w:r>
        <w:rPr>
          <w:rFonts w:hint="eastAsia" w:ascii="仿宋" w:hAnsi="仿宋" w:eastAsia="仿宋" w:cs="仿宋"/>
          <w:sz w:val="28"/>
          <w:szCs w:val="28"/>
          <w:lang w:val="en-US" w:eastAsia="zh-CN"/>
        </w:rPr>
        <w:t>1.积极参加日常集体政治理论学习，</w:t>
      </w:r>
      <w:r>
        <w:rPr>
          <w:rFonts w:hint="eastAsia" w:ascii="仿宋" w:hAnsi="仿宋" w:eastAsia="仿宋" w:cs="仿宋"/>
          <w:color w:val="000000"/>
          <w:sz w:val="28"/>
          <w:szCs w:val="28"/>
        </w:rPr>
        <w:t>其中学习表现满分10分，由学生所在学院依据政治理论学习和集体活动参会签到簿、会议记录簿、学习笔记簿等“三簿”记录情况以及学生交流发言、提交心得体会等情况进行赋分。学习成效满分</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分，依据应知应会测试成绩进行折算。</w:t>
      </w:r>
    </w:p>
    <w:p w14:paraId="6696D50B">
      <w:pPr>
        <w:pStyle w:val="11"/>
        <w:numPr>
          <w:ilvl w:val="0"/>
          <w:numId w:val="13"/>
        </w:numPr>
        <w:bidi w:val="0"/>
        <w:rPr>
          <w:rFonts w:hint="eastAsia" w:ascii="仿宋" w:hAnsi="仿宋" w:eastAsia="仿宋" w:cs="仿宋"/>
          <w:sz w:val="28"/>
          <w:szCs w:val="28"/>
        </w:rPr>
      </w:pPr>
      <w:r>
        <w:rPr>
          <w:rFonts w:hint="eastAsia" w:ascii="仿宋" w:hAnsi="仿宋" w:eastAsia="仿宋" w:cs="仿宋"/>
          <w:sz w:val="28"/>
          <w:szCs w:val="28"/>
        </w:rPr>
        <w:t>学习表现（10分）</w:t>
      </w:r>
    </w:p>
    <w:p w14:paraId="4E968B53">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基础分6分。各期政治理论学习被评为优秀团支部，支部成员每次加0.3分；青年大学习完成率达到90%及以上，个人加2分，完成率在60%—90%，按照比率加分，计算方法：2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完成率，完成率未到达60%，个人取消基础分；未按时参加学校、学院、党团支部的政治理论学习、政治教育、团日活动、主题班会等集体活动，每次扣0.5分，班级参会率未到达75%，支部成员每次扣0.2分；不定时抽查个人学习簿，未按要求完成，每次扣0.2分。班级感想或记录表未按时提交，团支部班子成员每人每次扣0.2分。每学期末检查各团支部“三簿一册”完成情况，未按时完成，团支部班子成员每人扣0.5分。</w:t>
      </w:r>
    </w:p>
    <w:p w14:paraId="722FE248">
      <w:pPr>
        <w:pStyle w:val="11"/>
        <w:numPr>
          <w:ilvl w:val="0"/>
          <w:numId w:val="13"/>
        </w:numPr>
        <w:bidi w:val="0"/>
        <w:rPr>
          <w:rFonts w:hint="eastAsia" w:ascii="仿宋" w:hAnsi="仿宋" w:eastAsia="仿宋" w:cs="仿宋"/>
          <w:sz w:val="28"/>
          <w:szCs w:val="28"/>
        </w:rPr>
      </w:pPr>
      <w:r>
        <w:rPr>
          <w:rFonts w:hint="eastAsia" w:ascii="仿宋" w:hAnsi="仿宋" w:eastAsia="仿宋" w:cs="仿宋"/>
          <w:sz w:val="28"/>
          <w:szCs w:val="28"/>
        </w:rPr>
        <w:t>学习成效（</w:t>
      </w:r>
      <w:r>
        <w:rPr>
          <w:rFonts w:hint="eastAsia" w:ascii="仿宋" w:hAnsi="仿宋" w:eastAsia="仿宋" w:cs="仿宋"/>
          <w:sz w:val="28"/>
          <w:szCs w:val="28"/>
          <w:lang w:val="en-US" w:eastAsia="zh-CN"/>
        </w:rPr>
        <w:t>5</w:t>
      </w:r>
      <w:r>
        <w:rPr>
          <w:rFonts w:hint="eastAsia" w:ascii="仿宋" w:hAnsi="仿宋" w:eastAsia="仿宋" w:cs="仿宋"/>
          <w:sz w:val="28"/>
          <w:szCs w:val="28"/>
        </w:rPr>
        <w:t>分）。</w:t>
      </w:r>
    </w:p>
    <w:p w14:paraId="35B7C1CF">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依据应知应会测试成绩进行折算，计算方法为：（测试成绩/100）*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；60分以下者计</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分；不参加考试者不计分；</w:t>
      </w:r>
    </w:p>
    <w:p w14:paraId="475BB744">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2.积极参加校、院组织的各类思想政治教育、心理健康教育等德育主题活动，经组织单位认定的，每人每次可加0.2分，此项可累计得分；（2.2分）</w:t>
      </w:r>
    </w:p>
    <w:p w14:paraId="53D61F9F">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3.积极响应国家号召，主动报名参军入伍并成功录取者加2分；（2分）</w:t>
      </w:r>
    </w:p>
    <w:p w14:paraId="42572897">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4.参加入党领航教育、“青马工程”培训等各类党性教育活动，考核合格每人每次可加0.4分，此项可累计得分；（1.6分）</w:t>
      </w:r>
    </w:p>
    <w:p w14:paraId="00192ABD">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5.积极参加“就业大学堂”“基层就业引领讲坛”、各类就业实训等活动，经组织单位认定的，每人每次可得0.2分，此项可累计得分；（2分）</w:t>
      </w:r>
    </w:p>
    <w:p w14:paraId="434C1B23">
      <w:pPr>
        <w:pStyle w:val="11"/>
        <w:numPr>
          <w:ilvl w:val="0"/>
          <w:numId w:val="0"/>
        </w:numPr>
        <w:bidi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6.在校级及以上开学典礼、毕业典礼、教师节表彰大会、荣誉校园学生表彰颁奖典礼等重大“典礼育人”场合，作为学生代表积极参与并获表扬每人可加0.3分，此项可累计得分；（2.2分）</w:t>
      </w:r>
    </w:p>
    <w:p w14:paraId="0EBEA542">
      <w:pPr>
        <w:pStyle w:val="11"/>
        <w:numPr>
          <w:ilvl w:val="0"/>
          <w:numId w:val="12"/>
        </w:numPr>
        <w:bidi w:val="0"/>
        <w:rPr>
          <w:rFonts w:hint="eastAsia" w:ascii="仿宋" w:hAnsi="仿宋" w:eastAsia="仿宋" w:cs="仿宋"/>
          <w:b/>
          <w:bCs/>
          <w:sz w:val="28"/>
          <w:szCs w:val="28"/>
        </w:rPr>
      </w:pPr>
      <w:r>
        <w:rPr>
          <w:rFonts w:hint="eastAsia" w:ascii="仿宋" w:hAnsi="仿宋" w:eastAsia="仿宋" w:cs="仿宋"/>
          <w:b/>
          <w:bCs/>
          <w:sz w:val="28"/>
          <w:szCs w:val="28"/>
        </w:rPr>
        <w:t>基层服务与骨干担当（</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分）</w:t>
      </w:r>
    </w:p>
    <w:p w14:paraId="465017CB">
      <w:pPr>
        <w:pStyle w:val="11"/>
        <w:numPr>
          <w:ilvl w:val="0"/>
          <w:numId w:val="14"/>
        </w:numPr>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担任校、院、班级等各级各类学生干部、社团负责人</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宿舍长</w:t>
      </w:r>
      <w:r>
        <w:rPr>
          <w:rFonts w:hint="eastAsia" w:ascii="仿宋" w:hAnsi="仿宋" w:eastAsia="仿宋" w:cs="仿宋"/>
          <w:color w:val="000000"/>
          <w:sz w:val="28"/>
          <w:szCs w:val="28"/>
        </w:rPr>
        <w:t>等，能够以身作则，工作积极，热心为同学服务，工作考核或评议结</w:t>
      </w:r>
      <w:r>
        <w:rPr>
          <w:rFonts w:hint="eastAsia" w:ascii="仿宋" w:hAnsi="仿宋" w:eastAsia="仿宋" w:cs="仿宋"/>
          <w:color w:val="000000"/>
          <w:sz w:val="28"/>
          <w:szCs w:val="28"/>
          <w:highlight w:val="none"/>
        </w:rPr>
        <w:t>果优秀者</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此项可累计得分</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分)</w:t>
      </w:r>
    </w:p>
    <w:p w14:paraId="63D2DD2C">
      <w:pPr>
        <w:pStyle w:val="11"/>
        <w:numPr>
          <w:ilvl w:val="0"/>
          <w:numId w:val="15"/>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学生会、社团指导中心以及国旗护卫队等院级及以上部门志愿者及负责人以上经过考核评级，优秀者加1分，良好加0.8分，及格加0.6分，不及格不予加分。（以上加分项参与人员以学校、院部门文件为准，若无评级，按“良好”加分,其中优秀率不超过团学、社团总人数20%、良好率不超过50%。）；</w:t>
      </w:r>
    </w:p>
    <w:p w14:paraId="405638FB">
      <w:pPr>
        <w:pStyle w:val="11"/>
        <w:numPr>
          <w:ilvl w:val="0"/>
          <w:numId w:val="15"/>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积极协助学院开展各项工作的志愿者、主要班干部，加0.5分，其中班长、支书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学委</w:t>
      </w:r>
      <w:r>
        <w:rPr>
          <w:rFonts w:hint="eastAsia" w:ascii="仿宋" w:hAnsi="仿宋" w:eastAsia="仿宋" w:cs="仿宋"/>
          <w:color w:val="auto"/>
          <w:sz w:val="28"/>
          <w:szCs w:val="28"/>
          <w:highlight w:val="none"/>
        </w:rPr>
        <w:t>，加0.8分。其他主要学生干部如校园体育社团、校、院队，加0.</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宿舍长加0.3分</w:t>
      </w:r>
      <w:r>
        <w:rPr>
          <w:rFonts w:hint="eastAsia" w:ascii="仿宋" w:hAnsi="仿宋" w:eastAsia="仿宋" w:cs="仿宋"/>
          <w:color w:val="auto"/>
          <w:sz w:val="28"/>
          <w:szCs w:val="28"/>
          <w:highlight w:val="none"/>
        </w:rPr>
        <w:t>；</w:t>
      </w:r>
    </w:p>
    <w:p w14:paraId="5182A18E">
      <w:pPr>
        <w:pStyle w:val="11"/>
        <w:numPr>
          <w:ilvl w:val="0"/>
          <w:numId w:val="15"/>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参军入伍复学的学生，每学年加</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2BF1594E">
      <w:pPr>
        <w:pStyle w:val="11"/>
        <w:widowControl/>
        <w:numPr>
          <w:ilvl w:val="0"/>
          <w:numId w:val="14"/>
        </w:numPr>
        <w:ind w:left="0" w:leftChars="0" w:firstLine="480" w:firstLineChars="0"/>
        <w:rPr>
          <w:rFonts w:hint="eastAsia" w:ascii="仿宋" w:hAnsi="仿宋" w:eastAsia="仿宋" w:cs="仿宋"/>
          <w:b w:val="0"/>
          <w:color w:val="000000"/>
          <w:sz w:val="28"/>
          <w:szCs w:val="28"/>
          <w:highlight w:val="none"/>
        </w:rPr>
      </w:pPr>
      <w:r>
        <w:rPr>
          <w:rFonts w:hint="eastAsia" w:ascii="仿宋" w:hAnsi="仿宋" w:eastAsia="仿宋" w:cs="仿宋"/>
          <w:color w:val="000000"/>
          <w:sz w:val="28"/>
          <w:szCs w:val="28"/>
          <w:highlight w:val="none"/>
        </w:rPr>
        <w:t>在重要活动、重大灾害期间主动作为，乐于奉献，经组织单位考核优秀的；参与“一站式”学生社区“常青藤”功能型党支部、红星讲师团、“亘塬下”青年讲师团、学业帮扶“小老师”等各类示范性服务活动，经组织单位考核优秀的，每人每次可加0.5分，此项可累计得分；（</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分）</w:t>
      </w:r>
    </w:p>
    <w:p w14:paraId="73E73C58">
      <w:pPr>
        <w:pStyle w:val="11"/>
        <w:widowControl/>
        <w:numPr>
          <w:ilvl w:val="0"/>
          <w:numId w:val="14"/>
        </w:numPr>
        <w:ind w:left="0" w:leftChars="0" w:firstLine="480" w:firstLineChars="0"/>
        <w:rPr>
          <w:rFonts w:hint="eastAsia" w:ascii="仿宋" w:hAnsi="仿宋" w:eastAsia="仿宋" w:cs="仿宋"/>
          <w:b w:val="0"/>
          <w:color w:val="000000"/>
          <w:sz w:val="28"/>
          <w:szCs w:val="28"/>
          <w:highlight w:val="none"/>
        </w:rPr>
      </w:pPr>
      <w:r>
        <w:rPr>
          <w:rFonts w:hint="eastAsia" w:ascii="仿宋" w:hAnsi="仿宋" w:eastAsia="仿宋" w:cs="仿宋"/>
          <w:color w:val="000000"/>
          <w:sz w:val="28"/>
          <w:szCs w:val="28"/>
          <w:highlight w:val="none"/>
          <w:lang w:val="en-US" w:eastAsia="zh-CN"/>
        </w:rPr>
        <w:t>积极参与平安校园建设活动，能及时发现校园交通、宿舍消防、实验室等方面安全隐患，积极上报并采取有效干预措施者，</w:t>
      </w:r>
      <w:r>
        <w:rPr>
          <w:rFonts w:hint="eastAsia" w:ascii="仿宋" w:hAnsi="仿宋" w:eastAsia="仿宋" w:cs="仿宋"/>
          <w:color w:val="000000"/>
          <w:sz w:val="28"/>
          <w:szCs w:val="28"/>
          <w:highlight w:val="none"/>
        </w:rPr>
        <w:t>每人每次可加0.</w:t>
      </w: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分，此项可累计得分。（</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分）</w:t>
      </w:r>
    </w:p>
    <w:p w14:paraId="62577867">
      <w:pPr>
        <w:pStyle w:val="11"/>
        <w:numPr>
          <w:ilvl w:val="0"/>
          <w:numId w:val="12"/>
        </w:numPr>
        <w:bidi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榜样引领与突出荣誉</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分）</w:t>
      </w:r>
    </w:p>
    <w:p w14:paraId="68254585">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在维护国家利益、社会稳定和民族团结等方面表现突出，受到有关部门表彰，每次可加0.5分，此项可累计得分；（</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2F5F5B9B">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助人为乐、见义勇为、诚实守信、孝老爱亲、拾金不昧等方面表现突出，受到相关部门、企事业单位通报褒扬、新闻媒体报道褒扬或校外来信表扬。校级表扬、报道每人每次加0.3分，受到省级及以上表扬、报道每人每次加0.5分，此项可累计得分；（</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6EC08370">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获得</w:t>
      </w:r>
      <w:r>
        <w:rPr>
          <w:rFonts w:hint="eastAsia" w:ascii="仿宋" w:hAnsi="仿宋" w:eastAsia="仿宋" w:cs="仿宋"/>
          <w:color w:val="auto"/>
          <w:sz w:val="28"/>
          <w:szCs w:val="28"/>
          <w:highlight w:val="none"/>
          <w:lang w:val="en-US" w:eastAsia="zh-CN"/>
        </w:rPr>
        <w:t>国家级、省级、地市级各类综合与单项个人荣誉，</w:t>
      </w:r>
      <w:r>
        <w:rPr>
          <w:rFonts w:hint="eastAsia" w:ascii="仿宋" w:hAnsi="仿宋" w:eastAsia="仿宋" w:cs="仿宋"/>
          <w:color w:val="auto"/>
          <w:sz w:val="28"/>
          <w:szCs w:val="28"/>
          <w:highlight w:val="none"/>
        </w:rPr>
        <w:t>每人每次可加0.5分，此项可累计得分；（</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4457B649">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个人或作为集体成员获得校级学生荣誉表彰奖励各类别或项目。(2分)</w:t>
      </w:r>
    </w:p>
    <w:p w14:paraId="1BD647E2">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党团组织荣誉类，所在党、团支部积极并富有成效地开展组织生活，党、团支部获得校级及以上优秀支部荣誉称号，所在团支部获得五四红旗团支部荣誉称号，该支部成员加0.4分（可累加）；</w:t>
      </w:r>
    </w:p>
    <w:p w14:paraId="63F0CF43">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班级荣誉类，所在学生班级积极开展主题班会，形式多样，内容丰富，班集体荣获校级优良学风示范班、校级先进班集体、校级社会实践先进班集体等荣誉称号的班级成员加0.4分（可累加）；</w:t>
      </w:r>
    </w:p>
    <w:p w14:paraId="4367DE25">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学年内获得校级认定的个人荣誉（校级优秀共产党员、优秀大学生、优秀学生干部、优秀团干部、社会实践先进标兵、十佳团员、百名校园之星、创新创业标兵、优秀少数民族学生等）加0.4分，校级优秀团员、社会实践先进个人加0.2分；</w:t>
      </w:r>
    </w:p>
    <w:p w14:paraId="25EA45D2">
      <w:pPr>
        <w:pStyle w:val="11"/>
        <w:widowControl/>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学年内获得院级认定的个人荣誉（院级优秀共产党员、优秀大学生、优秀学生干部、优秀团干部、院级社会实践先进标兵、百名校园之星推荐人选、创新创业标兵、优秀少数民族学生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水建之星</w:t>
      </w:r>
      <w:r>
        <w:rPr>
          <w:rFonts w:hint="eastAsia" w:ascii="仿宋" w:hAnsi="仿宋" w:eastAsia="仿宋" w:cs="仿宋"/>
          <w:color w:val="auto"/>
          <w:sz w:val="28"/>
          <w:szCs w:val="28"/>
          <w:highlight w:val="none"/>
        </w:rPr>
        <w:t>等）加0.3分，院级优秀团员、社会实践先进个人加0.15分；</w:t>
      </w:r>
    </w:p>
    <w:p w14:paraId="05C9A3D3">
      <w:pPr>
        <w:pStyle w:val="11"/>
        <w:numPr>
          <w:ilvl w:val="0"/>
          <w:numId w:val="12"/>
        </w:numPr>
        <w:bidi w:val="0"/>
        <w:rPr>
          <w:rFonts w:hint="eastAsia" w:ascii="仿宋" w:hAnsi="仿宋" w:eastAsia="仿宋" w:cs="仿宋"/>
          <w:b/>
          <w:bCs/>
          <w:color w:val="auto"/>
          <w:sz w:val="28"/>
          <w:szCs w:val="28"/>
          <w:highlight w:val="none"/>
        </w:rPr>
      </w:pPr>
      <w:r>
        <w:rPr>
          <w:rFonts w:hint="eastAsia" w:ascii="仿宋" w:hAnsi="仿宋" w:eastAsia="仿宋" w:cs="仿宋"/>
          <w:b/>
          <w:bCs/>
          <w:sz w:val="28"/>
          <w:szCs w:val="28"/>
        </w:rPr>
        <w:t>经学院认定的其他加分项。（</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分）</w:t>
      </w:r>
    </w:p>
    <w:p w14:paraId="6B6A700D">
      <w:pPr>
        <w:pStyle w:val="11"/>
        <w:widowControl/>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积极参与学校、学院（系）、班级组织的各项集体活动表现优异者并作出贡献，给予综合测评品德修养部分加分（具体分数以通报文件为准，校级每次加0.2分，院级每次加0.1分，班级贡献经学院审核证明材料有效每次加0.05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）例如：团干部综合素质能力大赛志愿者，迎新，毕业晚会志愿者；</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4分</w:t>
      </w:r>
      <w:r>
        <w:rPr>
          <w:rFonts w:hint="eastAsia" w:ascii="仿宋" w:hAnsi="仿宋" w:eastAsia="仿宋" w:cs="仿宋"/>
          <w:color w:val="auto"/>
          <w:sz w:val="28"/>
          <w:szCs w:val="28"/>
          <w:highlight w:val="none"/>
          <w:lang w:eastAsia="zh-CN"/>
        </w:rPr>
        <w:t>）</w:t>
      </w:r>
    </w:p>
    <w:p w14:paraId="04654BAA">
      <w:pPr>
        <w:spacing w:line="360" w:lineRule="auto"/>
        <w:ind w:firstLine="632"/>
        <w:rPr>
          <w:rFonts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lang w:val="en-US" w:eastAsia="zh-CN"/>
        </w:rPr>
        <w:t>2.</w:t>
      </w:r>
      <w:r>
        <w:rPr>
          <w:rFonts w:hint="eastAsia" w:ascii="仿宋" w:hAnsi="仿宋" w:eastAsia="仿宋"/>
          <w:color w:val="auto"/>
          <w:sz w:val="28"/>
          <w:szCs w:val="28"/>
          <w:highlight w:val="none"/>
          <w:shd w:val="clear" w:color="auto" w:fill="auto"/>
        </w:rPr>
        <w:t>所在宿舍在星级文明宿舍评比中达到五星级，宿舍每人加0.3分；</w:t>
      </w:r>
    </w:p>
    <w:p w14:paraId="64DFF73F">
      <w:pPr>
        <w:spacing w:line="360" w:lineRule="auto"/>
        <w:ind w:firstLine="632"/>
        <w:rPr>
          <w:rFonts w:hint="eastAsia" w:ascii="仿宋" w:hAnsi="仿宋" w:eastAsia="仿宋"/>
          <w:color w:val="auto"/>
          <w:sz w:val="28"/>
          <w:szCs w:val="28"/>
          <w:highlight w:val="none"/>
          <w:shd w:val="clear" w:color="auto" w:fill="auto"/>
        </w:rPr>
      </w:pPr>
      <w:r>
        <w:rPr>
          <w:rFonts w:hint="eastAsia" w:ascii="仿宋" w:hAnsi="仿宋" w:eastAsia="仿宋"/>
          <w:color w:val="auto"/>
          <w:sz w:val="28"/>
          <w:szCs w:val="28"/>
          <w:highlight w:val="none"/>
          <w:shd w:val="clear" w:color="auto" w:fill="auto"/>
          <w:lang w:val="en-US" w:eastAsia="zh-CN"/>
        </w:rPr>
        <w:t>3.</w:t>
      </w:r>
      <w:r>
        <w:rPr>
          <w:rFonts w:hint="eastAsia" w:ascii="仿宋" w:hAnsi="仿宋" w:eastAsia="仿宋"/>
          <w:color w:val="auto"/>
          <w:sz w:val="28"/>
          <w:szCs w:val="28"/>
          <w:highlight w:val="none"/>
          <w:shd w:val="clear" w:color="auto" w:fill="auto"/>
        </w:rPr>
        <w:t>参加国防教育、军事教育（标兵加0</w:t>
      </w:r>
      <w:r>
        <w:rPr>
          <w:rFonts w:ascii="仿宋" w:hAnsi="仿宋" w:eastAsia="仿宋"/>
          <w:color w:val="auto"/>
          <w:sz w:val="28"/>
          <w:szCs w:val="28"/>
          <w:highlight w:val="none"/>
          <w:shd w:val="clear" w:color="auto" w:fill="auto"/>
        </w:rPr>
        <w:t>.2</w:t>
      </w:r>
      <w:r>
        <w:rPr>
          <w:rFonts w:hint="eastAsia" w:ascii="仿宋" w:hAnsi="仿宋" w:eastAsia="仿宋"/>
          <w:color w:val="auto"/>
          <w:sz w:val="28"/>
          <w:szCs w:val="28"/>
          <w:highlight w:val="none"/>
          <w:shd w:val="clear" w:color="auto" w:fill="auto"/>
        </w:rPr>
        <w:t>）、安全教育、健康教育等课程选修，考核合格每人</w:t>
      </w:r>
      <w:r>
        <w:rPr>
          <w:rFonts w:hint="eastAsia" w:ascii="仿宋" w:hAnsi="仿宋" w:eastAsia="仿宋"/>
          <w:color w:val="auto"/>
          <w:sz w:val="28"/>
          <w:szCs w:val="22"/>
          <w:highlight w:val="none"/>
          <w:shd w:val="clear" w:color="auto" w:fill="auto"/>
        </w:rPr>
        <w:t>每门次加0</w:t>
      </w:r>
      <w:r>
        <w:rPr>
          <w:rFonts w:ascii="仿宋" w:hAnsi="仿宋" w:eastAsia="仿宋"/>
          <w:color w:val="auto"/>
          <w:sz w:val="28"/>
          <w:szCs w:val="22"/>
          <w:highlight w:val="none"/>
          <w:shd w:val="clear" w:color="auto" w:fill="auto"/>
        </w:rPr>
        <w:t>.</w:t>
      </w:r>
      <w:r>
        <w:rPr>
          <w:rFonts w:hint="eastAsia" w:ascii="仿宋" w:hAnsi="仿宋" w:eastAsia="仿宋"/>
          <w:color w:val="auto"/>
          <w:sz w:val="28"/>
          <w:szCs w:val="22"/>
          <w:highlight w:val="none"/>
          <w:shd w:val="clear" w:color="auto" w:fill="auto"/>
          <w:lang w:val="en-US" w:eastAsia="zh-CN"/>
        </w:rPr>
        <w:t>5</w:t>
      </w:r>
      <w:r>
        <w:rPr>
          <w:rFonts w:hint="eastAsia" w:ascii="仿宋" w:hAnsi="仿宋" w:eastAsia="仿宋"/>
          <w:color w:val="auto"/>
          <w:sz w:val="28"/>
          <w:szCs w:val="22"/>
          <w:highlight w:val="none"/>
          <w:shd w:val="clear" w:color="auto" w:fill="auto"/>
        </w:rPr>
        <w:t>分</w:t>
      </w:r>
      <w:r>
        <w:rPr>
          <w:rFonts w:hint="eastAsia"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1</w:t>
      </w:r>
      <w:r>
        <w:rPr>
          <w:rFonts w:hint="eastAsia" w:ascii="仿宋" w:hAnsi="仿宋" w:eastAsia="仿宋"/>
          <w:color w:val="auto"/>
          <w:sz w:val="28"/>
          <w:szCs w:val="28"/>
          <w:highlight w:val="none"/>
          <w:shd w:val="clear" w:color="auto" w:fill="auto"/>
        </w:rPr>
        <w:t>分）</w:t>
      </w:r>
    </w:p>
    <w:p w14:paraId="12633121">
      <w:pPr>
        <w:spacing w:line="360" w:lineRule="auto"/>
        <w:ind w:firstLine="632"/>
        <w:rPr>
          <w:rFonts w:hint="eastAsia" w:ascii="仿宋" w:hAnsi="仿宋" w:eastAsia="仿宋"/>
          <w:color w:val="auto"/>
          <w:sz w:val="28"/>
          <w:szCs w:val="28"/>
          <w:highlight w:val="none"/>
          <w:shd w:val="clear" w:color="auto" w:fill="auto"/>
          <w:lang w:val="en-US" w:eastAsia="zh-CN"/>
        </w:rPr>
      </w:pPr>
      <w:r>
        <w:rPr>
          <w:rFonts w:hint="eastAsia" w:ascii="仿宋" w:hAnsi="仿宋" w:eastAsia="仿宋"/>
          <w:color w:val="auto"/>
          <w:sz w:val="28"/>
          <w:szCs w:val="28"/>
          <w:highlight w:val="none"/>
          <w:shd w:val="clear" w:color="auto" w:fill="auto"/>
          <w:lang w:val="en-US" w:eastAsia="zh-CN"/>
        </w:rPr>
        <w:t>4.</w:t>
      </w:r>
      <w:r>
        <w:rPr>
          <w:rFonts w:hint="eastAsia" w:ascii="仿宋" w:hAnsi="仿宋" w:eastAsia="仿宋"/>
          <w:color w:val="auto"/>
          <w:sz w:val="28"/>
          <w:szCs w:val="28"/>
          <w:highlight w:val="none"/>
          <w:shd w:val="clear" w:color="auto" w:fill="auto"/>
        </w:rPr>
        <w:t>参加校院两级思想政治类、创新创业类和就业指导类辅导报告、讲座、培训及座谈会等并提交报告会记录单，每人每科加0.</w:t>
      </w:r>
      <w:r>
        <w:rPr>
          <w:rFonts w:hint="eastAsia" w:ascii="仿宋" w:hAnsi="仿宋" w:eastAsia="仿宋"/>
          <w:color w:val="auto"/>
          <w:sz w:val="28"/>
          <w:szCs w:val="28"/>
          <w:highlight w:val="none"/>
          <w:shd w:val="clear" w:color="auto" w:fill="auto"/>
          <w:lang w:val="en-US" w:eastAsia="zh-CN"/>
        </w:rPr>
        <w:t>1</w:t>
      </w:r>
      <w:r>
        <w:rPr>
          <w:rFonts w:hint="eastAsia" w:ascii="仿宋" w:hAnsi="仿宋" w:eastAsia="仿宋"/>
          <w:color w:val="auto"/>
          <w:sz w:val="28"/>
          <w:szCs w:val="28"/>
          <w:highlight w:val="none"/>
          <w:shd w:val="clear" w:color="auto" w:fill="auto"/>
        </w:rPr>
        <w:t>分；</w:t>
      </w:r>
      <w:r>
        <w:rPr>
          <w:rFonts w:hint="eastAsia" w:ascii="仿宋" w:hAnsi="仿宋" w:eastAsia="仿宋"/>
          <w:color w:val="auto"/>
          <w:sz w:val="28"/>
          <w:szCs w:val="28"/>
          <w:highlight w:val="none"/>
          <w:shd w:val="clear" w:color="auto" w:fill="auto"/>
          <w:lang w:eastAsia="zh-CN"/>
        </w:rPr>
        <w:t>（</w:t>
      </w:r>
      <w:r>
        <w:rPr>
          <w:rFonts w:hint="eastAsia" w:ascii="仿宋" w:hAnsi="仿宋" w:eastAsia="仿宋"/>
          <w:color w:val="auto"/>
          <w:sz w:val="28"/>
          <w:szCs w:val="28"/>
          <w:highlight w:val="none"/>
          <w:shd w:val="clear" w:color="auto" w:fill="auto"/>
          <w:lang w:val="en-US" w:eastAsia="zh-CN"/>
        </w:rPr>
        <w:t>2分</w:t>
      </w:r>
      <w:r>
        <w:rPr>
          <w:rFonts w:hint="eastAsia" w:ascii="仿宋" w:hAnsi="仿宋" w:eastAsia="仿宋"/>
          <w:color w:val="auto"/>
          <w:sz w:val="28"/>
          <w:szCs w:val="28"/>
          <w:highlight w:val="none"/>
          <w:shd w:val="clear" w:color="auto" w:fill="auto"/>
          <w:lang w:eastAsia="zh-CN"/>
        </w:rPr>
        <w:t>）</w:t>
      </w:r>
    </w:p>
    <w:p w14:paraId="5AFF9DE3">
      <w:pPr>
        <w:pStyle w:val="11"/>
        <w:widowControl/>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w:t>
      </w:r>
      <w:r>
        <w:rPr>
          <w:rFonts w:ascii="仿宋" w:hAnsi="仿宋" w:eastAsia="仿宋"/>
          <w:color w:val="auto"/>
          <w:sz w:val="28"/>
          <w:szCs w:val="28"/>
          <w:highlight w:val="none"/>
          <w:shd w:val="clear" w:color="auto" w:fill="auto"/>
        </w:rPr>
        <w:t>其他校、院认定的集体活动做出贡献每人加</w:t>
      </w:r>
      <w:r>
        <w:rPr>
          <w:rFonts w:hint="eastAsia" w:ascii="仿宋" w:hAnsi="仿宋" w:eastAsia="仿宋"/>
          <w:color w:val="auto"/>
          <w:sz w:val="28"/>
          <w:szCs w:val="28"/>
          <w:highlight w:val="none"/>
          <w:shd w:val="clear" w:color="auto" w:fill="auto"/>
        </w:rPr>
        <w:t>0</w:t>
      </w:r>
      <w:r>
        <w:rPr>
          <w:rFonts w:ascii="仿宋" w:hAnsi="仿宋" w:eastAsia="仿宋"/>
          <w:color w:val="auto"/>
          <w:sz w:val="28"/>
          <w:szCs w:val="28"/>
          <w:highlight w:val="none"/>
          <w:shd w:val="clear" w:color="auto" w:fill="auto"/>
        </w:rPr>
        <w:t>.2分</w:t>
      </w:r>
      <w:r>
        <w:rPr>
          <w:rFonts w:hint="eastAsia" w:ascii="仿宋" w:hAnsi="仿宋" w:eastAsia="仿宋"/>
          <w:color w:val="auto"/>
          <w:sz w:val="28"/>
          <w:szCs w:val="28"/>
          <w:highlight w:val="none"/>
          <w:shd w:val="clear" w:color="auto" w:fill="auto"/>
          <w:lang w:eastAsia="zh-CN"/>
        </w:rPr>
        <w:t>；（</w:t>
      </w:r>
      <w:r>
        <w:rPr>
          <w:rFonts w:hint="eastAsia" w:ascii="仿宋" w:hAnsi="仿宋" w:eastAsia="仿宋"/>
          <w:color w:val="auto"/>
          <w:sz w:val="28"/>
          <w:szCs w:val="28"/>
          <w:highlight w:val="none"/>
          <w:shd w:val="clear" w:color="auto" w:fill="auto"/>
          <w:lang w:val="en-US" w:eastAsia="zh-CN"/>
        </w:rPr>
        <w:t>3分</w:t>
      </w:r>
      <w:r>
        <w:rPr>
          <w:rFonts w:hint="eastAsia" w:ascii="仿宋" w:hAnsi="仿宋" w:eastAsia="仿宋"/>
          <w:color w:val="auto"/>
          <w:sz w:val="28"/>
          <w:szCs w:val="28"/>
          <w:highlight w:val="none"/>
          <w:shd w:val="clear" w:color="auto" w:fill="auto"/>
          <w:lang w:eastAsia="zh-CN"/>
        </w:rPr>
        <w:t>）</w:t>
      </w:r>
    </w:p>
    <w:p w14:paraId="5E1198EE">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德育扣分项原则上扣分上限为10分，累计扣分超过10分的以10分计。（10分）</w:t>
      </w:r>
    </w:p>
    <w:p w14:paraId="703F7344">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不遵守国家和学校关于网络使用的有关规定，登录非法网站和浏览、传播非法文字、音频、视频资料等，每人每次扣0.5分，此项可累计扣分；</w:t>
      </w:r>
    </w:p>
    <w:p w14:paraId="16522432">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lang w:val="en-US" w:eastAsia="zh-CN"/>
        </w:rPr>
        <w:t>在各类网络平台发表不当言论，被学校或网信、公安等相关部门查处的，每人每次扣2分，</w:t>
      </w:r>
      <w:r>
        <w:rPr>
          <w:rFonts w:hint="eastAsia" w:ascii="仿宋" w:hAnsi="仿宋" w:eastAsia="仿宋" w:cs="仿宋"/>
          <w:sz w:val="28"/>
          <w:szCs w:val="28"/>
        </w:rPr>
        <w:t>此项可累计扣分；</w:t>
      </w:r>
    </w:p>
    <w:p w14:paraId="35ABD11A">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集体观念淡薄，存在言行举止不端、损害他人或集体利益等有悖社会主义核心价值观的行为；被学校或学院处分通报者，每人每次扣1.5分，并取消本学年评奖评优及资助资格，此项可累计扣分；</w:t>
      </w:r>
    </w:p>
    <w:p w14:paraId="3F3EBCE9">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缺乏诚信，在贫困生认定、素质能力测评、各类评优评先等工作中存在弄虚作假行为，每人每次扣</w:t>
      </w:r>
      <w:r>
        <w:rPr>
          <w:rFonts w:hint="eastAsia" w:ascii="仿宋" w:hAnsi="仿宋" w:eastAsia="仿宋" w:cs="仿宋"/>
          <w:sz w:val="28"/>
          <w:szCs w:val="28"/>
          <w:lang w:val="en-US" w:eastAsia="zh-CN"/>
        </w:rPr>
        <w:t>1</w:t>
      </w:r>
      <w:r>
        <w:rPr>
          <w:rFonts w:hint="eastAsia" w:ascii="仿宋" w:hAnsi="仿宋" w:eastAsia="仿宋" w:cs="仿宋"/>
          <w:sz w:val="28"/>
          <w:szCs w:val="28"/>
        </w:rPr>
        <w:t>分，此项可累计扣分；</w:t>
      </w:r>
    </w:p>
    <w:p w14:paraId="60B3B28F">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违规长期占用教室、自习室、图书馆等公共资源，每人每次扣0.</w:t>
      </w:r>
      <w:r>
        <w:rPr>
          <w:rFonts w:hint="eastAsia" w:ascii="仿宋" w:hAnsi="仿宋" w:eastAsia="仿宋" w:cs="仿宋"/>
          <w:sz w:val="28"/>
          <w:szCs w:val="28"/>
          <w:lang w:val="en-US" w:eastAsia="zh-CN"/>
        </w:rPr>
        <w:t>5</w:t>
      </w:r>
      <w:r>
        <w:rPr>
          <w:rFonts w:hint="eastAsia" w:ascii="仿宋" w:hAnsi="仿宋" w:eastAsia="仿宋" w:cs="仿宋"/>
          <w:sz w:val="28"/>
          <w:szCs w:val="28"/>
        </w:rPr>
        <w:t>分，此项可累计扣分；</w:t>
      </w:r>
    </w:p>
    <w:p w14:paraId="3D39E3B7">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无故不参加晚自习、不参加集体活动，假期结束后无故不按时返校，每人每次扣0.</w:t>
      </w:r>
      <w:r>
        <w:rPr>
          <w:rFonts w:hint="eastAsia" w:ascii="仿宋" w:hAnsi="仿宋" w:eastAsia="仿宋" w:cs="仿宋"/>
          <w:sz w:val="28"/>
          <w:szCs w:val="28"/>
          <w:lang w:val="en-US" w:eastAsia="zh-CN"/>
        </w:rPr>
        <w:t>5</w:t>
      </w:r>
      <w:r>
        <w:rPr>
          <w:rFonts w:hint="eastAsia" w:ascii="仿宋" w:hAnsi="仿宋" w:eastAsia="仿宋" w:cs="仿宋"/>
          <w:sz w:val="28"/>
          <w:szCs w:val="28"/>
        </w:rPr>
        <w:t>分，此项可累计扣分；</w:t>
      </w:r>
    </w:p>
    <w:p w14:paraId="17294FCD">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所在宿舍在星级文明宿舍评比中未达标，无故晚归或无故夜不归宿，私自校外住宿，每人每次扣0.</w:t>
      </w:r>
      <w:r>
        <w:rPr>
          <w:rFonts w:hint="eastAsia" w:ascii="仿宋" w:hAnsi="仿宋" w:eastAsia="仿宋" w:cs="仿宋"/>
          <w:sz w:val="28"/>
          <w:szCs w:val="28"/>
          <w:lang w:val="en-US" w:eastAsia="zh-CN"/>
        </w:rPr>
        <w:t>5</w:t>
      </w:r>
      <w:r>
        <w:rPr>
          <w:rFonts w:hint="eastAsia" w:ascii="仿宋" w:hAnsi="仿宋" w:eastAsia="仿宋" w:cs="仿宋"/>
          <w:sz w:val="28"/>
          <w:szCs w:val="28"/>
        </w:rPr>
        <w:t>分，此项可累计扣分；</w:t>
      </w:r>
    </w:p>
    <w:p w14:paraId="652782A8">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lang w:val="en-US" w:eastAsia="zh-CN"/>
        </w:rPr>
        <w:t>安全观念淡漠，在宿舍、实验室等公共空间违规使用大功率电器等，每人每次扣0.5分</w:t>
      </w:r>
      <w:r>
        <w:rPr>
          <w:rFonts w:hint="eastAsia" w:ascii="仿宋" w:hAnsi="仿宋" w:eastAsia="仿宋" w:cs="仿宋"/>
          <w:sz w:val="28"/>
          <w:szCs w:val="28"/>
        </w:rPr>
        <w:t>，此项可累计扣分；</w:t>
      </w:r>
    </w:p>
    <w:p w14:paraId="308B4E80">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lang w:val="en-US" w:eastAsia="zh-CN"/>
        </w:rPr>
        <w:t>在校园交通治理中，违反校园交通安全相关规定的，每人每次扣0.5分</w:t>
      </w:r>
      <w:r>
        <w:rPr>
          <w:rFonts w:hint="eastAsia" w:ascii="仿宋" w:hAnsi="仿宋" w:eastAsia="仿宋" w:cs="仿宋"/>
          <w:sz w:val="28"/>
          <w:szCs w:val="28"/>
        </w:rPr>
        <w:t>，此项可累计扣分；</w:t>
      </w:r>
    </w:p>
    <w:p w14:paraId="1BF5D9BB">
      <w:pPr>
        <w:pStyle w:val="11"/>
        <w:numPr>
          <w:ilvl w:val="0"/>
          <w:numId w:val="16"/>
        </w:numPr>
        <w:bidi w:val="0"/>
        <w:rPr>
          <w:rFonts w:hint="eastAsia" w:ascii="仿宋" w:hAnsi="仿宋" w:eastAsia="仿宋" w:cs="仿宋"/>
          <w:sz w:val="28"/>
          <w:szCs w:val="28"/>
        </w:rPr>
      </w:pPr>
      <w:r>
        <w:rPr>
          <w:rFonts w:hint="eastAsia" w:ascii="仿宋" w:hAnsi="仿宋" w:eastAsia="仿宋" w:cs="仿宋"/>
          <w:sz w:val="28"/>
          <w:szCs w:val="28"/>
        </w:rPr>
        <w:t>有违反校纪校规的行为，受到学院通报批评或学校纪律处分；因违反学校学生管理相关规定而受到校级处分的，直接扣3分；因违反学院相关学生管理规定给予通报警告的，每人每次扣0.</w:t>
      </w:r>
      <w:r>
        <w:rPr>
          <w:rFonts w:hint="eastAsia" w:ascii="仿宋" w:hAnsi="仿宋" w:eastAsia="仿宋" w:cs="仿宋"/>
          <w:sz w:val="28"/>
          <w:szCs w:val="28"/>
          <w:lang w:val="en-US" w:eastAsia="zh-CN"/>
        </w:rPr>
        <w:t>5</w:t>
      </w:r>
      <w:r>
        <w:rPr>
          <w:rFonts w:hint="eastAsia" w:ascii="仿宋" w:hAnsi="仿宋" w:eastAsia="仿宋" w:cs="仿宋"/>
          <w:sz w:val="28"/>
          <w:szCs w:val="28"/>
        </w:rPr>
        <w:t>分；违反学院相关学生管理规定给予通报批评的，每人每次</w:t>
      </w:r>
      <w:r>
        <w:rPr>
          <w:rFonts w:hint="eastAsia" w:ascii="仿宋" w:hAnsi="仿宋" w:eastAsia="仿宋" w:cs="仿宋"/>
          <w:sz w:val="28"/>
          <w:szCs w:val="28"/>
          <w:lang w:val="en-US" w:eastAsia="zh-CN"/>
        </w:rPr>
        <w:t>1</w:t>
      </w:r>
      <w:r>
        <w:rPr>
          <w:rFonts w:hint="eastAsia" w:ascii="仿宋" w:hAnsi="仿宋" w:eastAsia="仿宋" w:cs="仿宋"/>
          <w:sz w:val="28"/>
          <w:szCs w:val="28"/>
        </w:rPr>
        <w:t>分，本项可累计扣分。</w:t>
      </w:r>
    </w:p>
    <w:p w14:paraId="5792C992">
      <w:pPr>
        <w:pStyle w:val="16"/>
        <w:numPr>
          <w:ilvl w:val="0"/>
          <w:numId w:val="1"/>
        </w:numPr>
        <w:rPr>
          <w:highlight w:val="none"/>
        </w:rPr>
      </w:pPr>
      <w:r>
        <w:rPr>
          <w:highlight w:val="none"/>
        </w:rPr>
        <w:t>智育素质测评标准</w:t>
      </w:r>
    </w:p>
    <w:p w14:paraId="3CD13EFF">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智育素质能力测评模块突出大学生专业理论与科研实践能力，强化培养学生掌握系统科学文化知识与技能、发展智力。</w:t>
      </w:r>
    </w:p>
    <w:p w14:paraId="25337CC6">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智育素质测评内容主要包括学生学业成绩、参与科研训练、学科竞赛与创新创业实践等方面的表现。智育素质能力测评采用百分制，测评成绩Z包括学业成绩得分Z1和智育成果性评价得分Z2两部分。该项总分不超过100分，累计得分超过100分的按100分计。</w:t>
      </w:r>
    </w:p>
    <w:p w14:paraId="4066709F">
      <w:pPr>
        <w:pStyle w:val="11"/>
        <w:widowControl/>
        <w:numPr>
          <w:ilvl w:val="0"/>
          <w:numId w:val="2"/>
        </w:numPr>
        <w:ind w:left="0" w:leftChars="0" w:firstLine="482" w:firstLineChars="0"/>
      </w:pPr>
      <w:r>
        <w:rPr>
          <w:rFonts w:hint="eastAsia" w:ascii="仿宋" w:hAnsi="仿宋" w:eastAsia="仿宋" w:cs="Times New Roman"/>
          <w:color w:val="auto"/>
          <w:kern w:val="2"/>
          <w:sz w:val="28"/>
          <w:szCs w:val="28"/>
          <w:highlight w:val="none"/>
          <w:shd w:val="clear" w:color="auto" w:fill="auto"/>
          <w:lang w:val="en-US" w:eastAsia="zh-CN" w:bidi="ar-SA"/>
        </w:rPr>
        <w:t>学业成绩得分占比为60分，主要评价学年学生修读课程平均成绩，以“平均学分成绩”为测算依据。</w:t>
      </w:r>
    </w:p>
    <w:p w14:paraId="42A44665">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智育成果性评价总分原则上40分，累计得分超过40分的以40分计。测评内容主要包括科研实践与学术活动、学科竞赛与生涯规划、国际交流与跨文化实践、学术研究与创新成果等部分。由各学院测评工作组依据学院测评细则对学生相关表现进行综合评价赋分。</w:t>
      </w:r>
    </w:p>
    <w:p w14:paraId="598DBCE3">
      <w:pPr>
        <w:pStyle w:val="11"/>
        <w:numPr>
          <w:ilvl w:val="0"/>
          <w:numId w:val="17"/>
        </w:numPr>
        <w:bidi w:val="0"/>
        <w:rPr>
          <w:rFonts w:hint="eastAsia" w:ascii="仿宋" w:hAnsi="仿宋" w:eastAsia="仿宋" w:cs="仿宋"/>
          <w:b w:val="0"/>
          <w:color w:val="auto"/>
          <w:sz w:val="28"/>
          <w:szCs w:val="28"/>
          <w:highlight w:val="none"/>
          <w:lang w:eastAsia="zh-CN"/>
        </w:rPr>
      </w:pPr>
      <w:r>
        <w:rPr>
          <w:rFonts w:hint="eastAsia" w:ascii="仿宋" w:hAnsi="仿宋" w:eastAsia="仿宋" w:cs="仿宋"/>
          <w:b/>
          <w:bCs/>
          <w:sz w:val="28"/>
          <w:szCs w:val="28"/>
        </w:rPr>
        <w:t>科研实践与学术活动（</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分）</w:t>
      </w:r>
    </w:p>
    <w:p w14:paraId="3A2D02B1">
      <w:pPr>
        <w:pStyle w:val="11"/>
        <w:numPr>
          <w:ilvl w:val="0"/>
          <w:numId w:val="0"/>
        </w:numPr>
        <w:bidi w:val="0"/>
        <w:ind w:firstLine="560" w:firstLineChars="200"/>
        <w:rPr>
          <w:rFonts w:hint="eastAsia" w:ascii="仿宋" w:hAnsi="仿宋" w:eastAsia="仿宋" w:cs="仿宋"/>
          <w:b w:val="0"/>
          <w:color w:val="auto"/>
          <w:sz w:val="28"/>
          <w:szCs w:val="28"/>
          <w:highlight w:val="none"/>
          <w:lang w:eastAsia="zh-CN"/>
        </w:rPr>
      </w:pPr>
      <w:r>
        <w:rPr>
          <w:rFonts w:hint="eastAsia" w:ascii="仿宋" w:hAnsi="仿宋" w:eastAsia="仿宋" w:cs="仿宋"/>
          <w:b w:val="0"/>
          <w:bCs w:val="0"/>
          <w:sz w:val="28"/>
          <w:szCs w:val="28"/>
          <w:lang w:val="en-US" w:eastAsia="zh-CN"/>
        </w:rPr>
        <w:t>1.</w:t>
      </w:r>
      <w:r>
        <w:rPr>
          <w:rFonts w:hint="eastAsia" w:ascii="仿宋" w:hAnsi="仿宋" w:eastAsia="仿宋" w:cs="仿宋"/>
          <w:b w:val="0"/>
          <w:bCs w:val="0"/>
          <w:color w:val="auto"/>
          <w:sz w:val="28"/>
          <w:szCs w:val="28"/>
          <w:highlight w:val="none"/>
        </w:rPr>
        <w:t>主持</w:t>
      </w: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参与各级各类科研项目、创新创业项目或活动并顺利</w:t>
      </w:r>
      <w:r>
        <w:rPr>
          <w:rFonts w:hint="eastAsia" w:ascii="仿宋" w:hAnsi="仿宋" w:eastAsia="仿宋" w:cs="仿宋"/>
          <w:color w:val="auto"/>
          <w:sz w:val="28"/>
          <w:szCs w:val="28"/>
          <w:highlight w:val="none"/>
          <w:lang w:val="en-US" w:eastAsia="zh-CN"/>
        </w:rPr>
        <w:t>结</w:t>
      </w:r>
      <w:r>
        <w:rPr>
          <w:rFonts w:hint="eastAsia" w:ascii="仿宋" w:hAnsi="仿宋" w:eastAsia="仿宋" w:cs="仿宋"/>
          <w:color w:val="auto"/>
          <w:sz w:val="28"/>
          <w:szCs w:val="28"/>
          <w:highlight w:val="none"/>
        </w:rPr>
        <w:t>题；</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4分</w:t>
      </w:r>
      <w:r>
        <w:rPr>
          <w:rFonts w:hint="eastAsia" w:ascii="仿宋" w:hAnsi="仿宋" w:eastAsia="仿宋" w:cs="仿宋"/>
          <w:color w:val="auto"/>
          <w:sz w:val="28"/>
          <w:szCs w:val="28"/>
          <w:highlight w:val="none"/>
          <w:lang w:eastAsia="zh-CN"/>
        </w:rPr>
        <w:t>）</w:t>
      </w:r>
    </w:p>
    <w:p w14:paraId="0A9FC6E3">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申请科技创新项目，获批国家级项目，担任项目负责人者计2分，成员计1分；获批省级项目，担任项目负责人者计1.5分，成员计0.8分；获批校级项目，担任项目负责人者计1分，成员计0.5分，项目结题优秀者额外加1分。</w:t>
      </w:r>
    </w:p>
    <w:p w14:paraId="178BFDF4">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申请大学生创新创业项目，获批国家级项目，担任项目负责人者计2分，成员计1分；获批省级项目，担任项目负责人者计1.5分，成员计0.8分；获批校级项目，担任项目负责人者计1分，成员计0.5分，项目结题优秀者额外计1分。</w:t>
      </w:r>
    </w:p>
    <w:p w14:paraId="0BEC7CA7">
      <w:pPr>
        <w:pStyle w:val="1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其他校外项目由辅导员予以认定。</w:t>
      </w:r>
    </w:p>
    <w:p w14:paraId="578BD050">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积极参加学校、学院组织的学术报告会、专题讲座、学术论坛、创新创业展览等科技学术活动；（</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w:t>
      </w:r>
    </w:p>
    <w:p w14:paraId="22DFE6F5">
      <w:pPr>
        <w:pStyle w:val="1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参与学校组织的学术报告会、专题讲座、学术论坛、创新创业展览等科技学术活动者，加0.3分，参加汇报工作者，加0.5分，代表学院或学校外出参与其他官方科技学术活动者，加0.5分，参与汇报工作者，加1分，此项可累计加分。</w:t>
      </w:r>
    </w:p>
    <w:p w14:paraId="0623FE65">
      <w:pPr>
        <w:pStyle w:val="11"/>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在各类官方媒体、主流网站、校级及以上报刊、经学校认定的微信公众号等平台发表理论时评文章或新闻作品；（网页截图加分，参与排序作者不包括指导老师，第三作者及以后者不加分，同一文章被不同网站采用计最高分，不同文章被网站采用可累加加分）（</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p w14:paraId="06C9AF90">
      <w:pPr>
        <w:pStyle w:val="11"/>
        <w:numPr>
          <w:ilvl w:val="0"/>
          <w:numId w:val="18"/>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在网站发表稿件文章者：</w:t>
      </w:r>
    </w:p>
    <w:p w14:paraId="6D282FB9">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如《人民日报》《全国高校思想政治工作网》等，第一作者加2</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分、第二作者加</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分、第三作者加1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分，其余作者不加分；</w:t>
      </w:r>
    </w:p>
    <w:p w14:paraId="2DB40E84">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中青网、学校“新闻焦点”版块发表稿件文章者，第一作者加</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分、第二作者加1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分，其余作者不加分；</w:t>
      </w:r>
    </w:p>
    <w:p w14:paraId="48E2AD3C">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在学校“聚焦院处”版块发表稿件文章者，第一作者加1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分、第二作者加</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w:t>
      </w:r>
    </w:p>
    <w:p w14:paraId="67DE08E2">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在学校“学生天地”版块发表稿件文章者，第一作者加0.</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分、第二作者加0.</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w:t>
      </w:r>
    </w:p>
    <w:p w14:paraId="03B2F4FD">
      <w:pPr>
        <w:pStyle w:val="11"/>
        <w:numPr>
          <w:ilvl w:val="0"/>
          <w:numId w:val="19"/>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在学院网站发表稿件文章，第一作者加0.</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分、第二作者加0.</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51B356F4">
      <w:pPr>
        <w:pStyle w:val="11"/>
        <w:numPr>
          <w:ilvl w:val="0"/>
          <w:numId w:val="18"/>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在公众号发表稿件文章者（原创文章）：</w:t>
      </w:r>
    </w:p>
    <w:p w14:paraId="3E1E468E">
      <w:pPr>
        <w:pStyle w:val="11"/>
        <w:numPr>
          <w:ilvl w:val="0"/>
          <w:numId w:val="20"/>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校级及以上官方公众号，第一作者加0.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分、第二作者加0.</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分、审核加0.2，其余作者不加分；</w:t>
      </w:r>
    </w:p>
    <w:p w14:paraId="7B12E492">
      <w:pPr>
        <w:pStyle w:val="11"/>
        <w:numPr>
          <w:ilvl w:val="0"/>
          <w:numId w:val="20"/>
        </w:numPr>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学院公众号，第一作者加0.</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分、第二作者加0.</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分、审核加0.</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，其余作者不加分；</w:t>
      </w:r>
    </w:p>
    <w:p w14:paraId="74440182">
      <w:pPr>
        <w:pStyle w:val="11"/>
        <w:numPr>
          <w:ilvl w:val="0"/>
          <w:numId w:val="18"/>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其他类稿件作者需要提供辅导员签字后的证明材料，具体分值根据辅导员打分决定。</w:t>
      </w:r>
    </w:p>
    <w:p w14:paraId="4B408CF9">
      <w:pPr>
        <w:pStyle w:val="11"/>
        <w:numPr>
          <w:ilvl w:val="0"/>
          <w:numId w:val="0"/>
        </w:numPr>
        <w:topLinePunct w:val="0"/>
        <w:ind w:left="480" w:left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参加各级各类主题征文活动及获奖情况。（</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w:t>
      </w:r>
    </w:p>
    <w:p w14:paraId="0427A1F2">
      <w:pPr>
        <w:pStyle w:val="11"/>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参加校级以上（含校级）主题征文大赛获得一等奖加1分，二等奖加0.8分，三等奖加0.6分，未获奖加0.3分；参加院级主题征文大赛获得一等奖加0.5分，二等奖加0.3分，三等奖加0.2分，未获奖加0.1分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可累加加分</w:t>
      </w:r>
      <w:r>
        <w:rPr>
          <w:rFonts w:hint="eastAsia" w:ascii="仿宋" w:hAnsi="仿宋" w:eastAsia="仿宋" w:cs="仿宋"/>
          <w:color w:val="auto"/>
          <w:sz w:val="28"/>
          <w:szCs w:val="28"/>
          <w:highlight w:val="none"/>
          <w:lang w:eastAsia="zh-CN"/>
        </w:rPr>
        <w:t>。</w:t>
      </w:r>
    </w:p>
    <w:p w14:paraId="0995DCA1">
      <w:pPr>
        <w:pStyle w:val="11"/>
        <w:numPr>
          <w:ilvl w:val="0"/>
          <w:numId w:val="17"/>
        </w:numPr>
        <w:bidi w:val="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仿宋"/>
          <w:b/>
          <w:bCs/>
          <w:sz w:val="28"/>
          <w:szCs w:val="28"/>
          <w:lang w:val="en-US" w:eastAsia="zh-CN"/>
        </w:rPr>
        <w:t>学科竞赛与生涯规划</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分）</w:t>
      </w:r>
    </w:p>
    <w:p w14:paraId="10F3E046">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主持或参与各级各类学科竞赛及获奖情况；（</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分）</w:t>
      </w:r>
    </w:p>
    <w:p w14:paraId="74E823B0">
      <w:pPr>
        <w:pStyle w:val="11"/>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在教务处或校团委等校级及以上职能部门发起的大学生数学竞赛、英语竞赛等各类学科竞赛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课外学术科技作品竞赛、学术科技竞赛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“挑战杯”“互联网+”“水利创新竞赛”等创新创业类竞赛中获奖，按照获奖情况进行加分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A类竞赛为对应分数*1，B类竞赛为对应分数*0.8，C类竞赛为对应分数*0.6，队长为对应分数*1，队员为对应分数*0.8，同一竞赛不可累计加分，不同比赛可累计加分。</w:t>
      </w:r>
    </w:p>
    <w:tbl>
      <w:tblPr>
        <w:tblStyle w:val="18"/>
        <w:tblpPr w:leftFromText="180" w:rightFromText="180" w:vertAnchor="text" w:horzAnchor="margin" w:tblpXSpec="center" w:tblpY="26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1617"/>
        <w:gridCol w:w="1616"/>
        <w:gridCol w:w="1616"/>
        <w:gridCol w:w="1616"/>
      </w:tblGrid>
      <w:tr w14:paraId="0315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4ADF5CE1">
            <w:pPr>
              <w:keepNext w:val="0"/>
              <w:keepLines w:val="0"/>
              <w:pageBreakBefore w:val="0"/>
              <w:widowControl w:val="0"/>
              <w:kinsoku/>
              <w:wordWrap/>
              <w:overflowPunct/>
              <w:topLinePunct w:val="0"/>
              <w:autoSpaceDE/>
              <w:autoSpaceDN/>
              <w:bidi w:val="0"/>
              <w:adjustRightInd/>
              <w:snapToGrid/>
              <w:spacing w:line="360" w:lineRule="auto"/>
              <w:ind w:firstLine="632"/>
              <w:jc w:val="center"/>
              <w:textAlignment w:val="auto"/>
              <w:rPr>
                <w:rFonts w:hint="eastAsia" w:ascii="仿宋" w:hAnsi="仿宋" w:eastAsia="仿宋" w:cs="仿宋"/>
                <w:color w:val="auto"/>
                <w:sz w:val="28"/>
                <w:szCs w:val="28"/>
                <w:highlight w:val="none"/>
                <w:shd w:val="clear" w:color="auto" w:fill="auto"/>
              </w:rPr>
            </w:pPr>
          </w:p>
        </w:tc>
        <w:tc>
          <w:tcPr>
            <w:tcW w:w="949" w:type="pct"/>
            <w:vAlign w:val="center"/>
          </w:tcPr>
          <w:p w14:paraId="54DF07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特等奖</w:t>
            </w:r>
          </w:p>
        </w:tc>
        <w:tc>
          <w:tcPr>
            <w:tcW w:w="948" w:type="pct"/>
            <w:vAlign w:val="center"/>
          </w:tcPr>
          <w:p w14:paraId="5FBE18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一等奖</w:t>
            </w:r>
          </w:p>
        </w:tc>
        <w:tc>
          <w:tcPr>
            <w:tcW w:w="948" w:type="pct"/>
            <w:vAlign w:val="center"/>
          </w:tcPr>
          <w:p w14:paraId="19ACDB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二等奖</w:t>
            </w:r>
          </w:p>
        </w:tc>
        <w:tc>
          <w:tcPr>
            <w:tcW w:w="948" w:type="pct"/>
            <w:vAlign w:val="center"/>
          </w:tcPr>
          <w:p w14:paraId="33B5D7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三等奖</w:t>
            </w:r>
          </w:p>
        </w:tc>
      </w:tr>
      <w:tr w14:paraId="6627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17947B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国家级</w:t>
            </w:r>
          </w:p>
        </w:tc>
        <w:tc>
          <w:tcPr>
            <w:tcW w:w="949" w:type="pct"/>
            <w:vAlign w:val="center"/>
          </w:tcPr>
          <w:p w14:paraId="39C480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7</w:t>
            </w:r>
            <w:r>
              <w:rPr>
                <w:rFonts w:hint="eastAsia" w:ascii="仿宋" w:hAnsi="仿宋" w:eastAsia="仿宋" w:cs="仿宋"/>
                <w:color w:val="auto"/>
                <w:sz w:val="28"/>
                <w:szCs w:val="28"/>
                <w:highlight w:val="none"/>
                <w:shd w:val="clear" w:color="auto" w:fill="auto"/>
              </w:rPr>
              <w:t>分</w:t>
            </w:r>
          </w:p>
        </w:tc>
        <w:tc>
          <w:tcPr>
            <w:tcW w:w="948" w:type="pct"/>
            <w:vAlign w:val="center"/>
          </w:tcPr>
          <w:p w14:paraId="0184A3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6</w:t>
            </w:r>
            <w:r>
              <w:rPr>
                <w:rFonts w:hint="eastAsia" w:ascii="仿宋" w:hAnsi="仿宋" w:eastAsia="仿宋" w:cs="仿宋"/>
                <w:color w:val="auto"/>
                <w:sz w:val="28"/>
                <w:szCs w:val="28"/>
                <w:highlight w:val="none"/>
                <w:shd w:val="clear" w:color="auto" w:fill="auto"/>
              </w:rPr>
              <w:t>分</w:t>
            </w:r>
          </w:p>
        </w:tc>
        <w:tc>
          <w:tcPr>
            <w:tcW w:w="948" w:type="pct"/>
            <w:vAlign w:val="center"/>
          </w:tcPr>
          <w:p w14:paraId="2B8D0A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5.5</w:t>
            </w:r>
            <w:r>
              <w:rPr>
                <w:rFonts w:hint="eastAsia" w:ascii="仿宋" w:hAnsi="仿宋" w:eastAsia="仿宋" w:cs="仿宋"/>
                <w:color w:val="auto"/>
                <w:sz w:val="28"/>
                <w:szCs w:val="28"/>
                <w:highlight w:val="none"/>
                <w:shd w:val="clear" w:color="auto" w:fill="auto"/>
              </w:rPr>
              <w:t>分</w:t>
            </w:r>
          </w:p>
        </w:tc>
        <w:tc>
          <w:tcPr>
            <w:tcW w:w="948" w:type="pct"/>
            <w:vAlign w:val="center"/>
          </w:tcPr>
          <w:p w14:paraId="0361B2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w:t>
            </w:r>
            <w:r>
              <w:rPr>
                <w:rFonts w:hint="eastAsia" w:ascii="仿宋" w:hAnsi="仿宋" w:eastAsia="仿宋" w:cs="仿宋"/>
                <w:color w:val="auto"/>
                <w:sz w:val="28"/>
                <w:szCs w:val="28"/>
                <w:highlight w:val="none"/>
                <w:shd w:val="clear" w:color="auto" w:fill="auto"/>
              </w:rPr>
              <w:t>分</w:t>
            </w:r>
          </w:p>
        </w:tc>
      </w:tr>
      <w:tr w14:paraId="68F4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756EF7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省级</w:t>
            </w:r>
          </w:p>
        </w:tc>
        <w:tc>
          <w:tcPr>
            <w:tcW w:w="949" w:type="pct"/>
            <w:vAlign w:val="center"/>
          </w:tcPr>
          <w:p w14:paraId="138B06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w:t>
            </w:r>
            <w:r>
              <w:rPr>
                <w:rFonts w:hint="eastAsia" w:ascii="仿宋" w:hAnsi="仿宋" w:eastAsia="仿宋" w:cs="仿宋"/>
                <w:color w:val="auto"/>
                <w:sz w:val="28"/>
                <w:szCs w:val="28"/>
                <w:highlight w:val="none"/>
                <w:shd w:val="clear" w:color="auto" w:fill="auto"/>
              </w:rPr>
              <w:t>分</w:t>
            </w:r>
          </w:p>
        </w:tc>
        <w:tc>
          <w:tcPr>
            <w:tcW w:w="948" w:type="pct"/>
            <w:vAlign w:val="center"/>
          </w:tcPr>
          <w:p w14:paraId="7F33CA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4.5</w:t>
            </w:r>
            <w:bookmarkStart w:id="0" w:name="_GoBack"/>
            <w:bookmarkEnd w:id="0"/>
            <w:r>
              <w:rPr>
                <w:rFonts w:hint="eastAsia" w:ascii="仿宋" w:hAnsi="仿宋" w:eastAsia="仿宋" w:cs="仿宋"/>
                <w:color w:val="auto"/>
                <w:sz w:val="28"/>
                <w:szCs w:val="28"/>
                <w:highlight w:val="none"/>
                <w:shd w:val="clear" w:color="auto" w:fill="auto"/>
              </w:rPr>
              <w:t>分</w:t>
            </w:r>
          </w:p>
        </w:tc>
        <w:tc>
          <w:tcPr>
            <w:tcW w:w="948" w:type="pct"/>
            <w:vAlign w:val="center"/>
          </w:tcPr>
          <w:p w14:paraId="103773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4.3</w:t>
            </w:r>
            <w:r>
              <w:rPr>
                <w:rFonts w:hint="eastAsia" w:ascii="仿宋" w:hAnsi="仿宋" w:eastAsia="仿宋" w:cs="仿宋"/>
                <w:color w:val="auto"/>
                <w:sz w:val="28"/>
                <w:szCs w:val="28"/>
                <w:highlight w:val="none"/>
                <w:shd w:val="clear" w:color="auto" w:fill="auto"/>
              </w:rPr>
              <w:t>分</w:t>
            </w:r>
          </w:p>
        </w:tc>
        <w:tc>
          <w:tcPr>
            <w:tcW w:w="948" w:type="pct"/>
            <w:vAlign w:val="center"/>
          </w:tcPr>
          <w:p w14:paraId="1172F4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r>
      <w:tr w14:paraId="72C5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6E4F09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校、区级</w:t>
            </w:r>
          </w:p>
        </w:tc>
        <w:tc>
          <w:tcPr>
            <w:tcW w:w="949" w:type="pct"/>
            <w:vAlign w:val="center"/>
          </w:tcPr>
          <w:p w14:paraId="2F4634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c>
          <w:tcPr>
            <w:tcW w:w="948" w:type="pct"/>
            <w:vAlign w:val="center"/>
          </w:tcPr>
          <w:p w14:paraId="6A7F1F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w:t>
            </w:r>
            <w:r>
              <w:rPr>
                <w:rFonts w:hint="eastAsia" w:ascii="仿宋" w:hAnsi="仿宋" w:eastAsia="仿宋" w:cs="仿宋"/>
                <w:color w:val="auto"/>
                <w:sz w:val="28"/>
                <w:szCs w:val="28"/>
                <w:highlight w:val="none"/>
                <w:shd w:val="clear" w:color="auto" w:fill="auto"/>
              </w:rPr>
              <w:t>分</w:t>
            </w:r>
          </w:p>
        </w:tc>
        <w:tc>
          <w:tcPr>
            <w:tcW w:w="948" w:type="pct"/>
            <w:vAlign w:val="center"/>
          </w:tcPr>
          <w:p w14:paraId="49FC52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2.5</w:t>
            </w:r>
            <w:r>
              <w:rPr>
                <w:rFonts w:hint="eastAsia" w:ascii="仿宋" w:hAnsi="仿宋" w:eastAsia="仿宋" w:cs="仿宋"/>
                <w:color w:val="auto"/>
                <w:sz w:val="28"/>
                <w:szCs w:val="28"/>
                <w:highlight w:val="none"/>
                <w:shd w:val="clear" w:color="auto" w:fill="auto"/>
              </w:rPr>
              <w:t>分</w:t>
            </w:r>
          </w:p>
        </w:tc>
        <w:tc>
          <w:tcPr>
            <w:tcW w:w="948" w:type="pct"/>
            <w:vAlign w:val="center"/>
          </w:tcPr>
          <w:p w14:paraId="6FE082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r>
      <w:tr w14:paraId="4308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vAlign w:val="center"/>
          </w:tcPr>
          <w:p w14:paraId="6E71D2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院级</w:t>
            </w:r>
          </w:p>
        </w:tc>
        <w:tc>
          <w:tcPr>
            <w:tcW w:w="949" w:type="pct"/>
            <w:vAlign w:val="center"/>
          </w:tcPr>
          <w:p w14:paraId="01A15F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c>
          <w:tcPr>
            <w:tcW w:w="948" w:type="pct"/>
            <w:vAlign w:val="center"/>
          </w:tcPr>
          <w:p w14:paraId="19FD1B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c>
          <w:tcPr>
            <w:tcW w:w="948" w:type="pct"/>
            <w:vAlign w:val="center"/>
          </w:tcPr>
          <w:p w14:paraId="5E640A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w:t>
            </w:r>
            <w:r>
              <w:rPr>
                <w:rFonts w:hint="eastAsia" w:ascii="仿宋" w:hAnsi="仿宋" w:eastAsia="仿宋" w:cs="仿宋"/>
                <w:color w:val="auto"/>
                <w:sz w:val="28"/>
                <w:szCs w:val="28"/>
                <w:highlight w:val="none"/>
                <w:shd w:val="clear" w:color="auto" w:fill="auto"/>
              </w:rPr>
              <w:t>分</w:t>
            </w:r>
          </w:p>
        </w:tc>
        <w:tc>
          <w:tcPr>
            <w:tcW w:w="948" w:type="pct"/>
            <w:vAlign w:val="center"/>
          </w:tcPr>
          <w:p w14:paraId="7EC24B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0.5</w:t>
            </w:r>
            <w:r>
              <w:rPr>
                <w:rFonts w:hint="eastAsia" w:ascii="仿宋" w:hAnsi="仿宋" w:eastAsia="仿宋" w:cs="仿宋"/>
                <w:color w:val="auto"/>
                <w:sz w:val="28"/>
                <w:szCs w:val="28"/>
                <w:highlight w:val="none"/>
                <w:shd w:val="clear" w:color="auto" w:fill="auto"/>
              </w:rPr>
              <w:t>分</w:t>
            </w:r>
          </w:p>
        </w:tc>
      </w:tr>
    </w:tbl>
    <w:p w14:paraId="404CD256">
      <w:pPr>
        <w:keepNext w:val="0"/>
        <w:keepLines w:val="0"/>
        <w:pageBreakBefore w:val="0"/>
        <w:widowControl w:val="0"/>
        <w:kinsoku/>
        <w:wordWrap/>
        <w:overflowPunct/>
        <w:topLinePunct w:val="0"/>
        <w:autoSpaceDE/>
        <w:autoSpaceDN/>
        <w:bidi w:val="0"/>
        <w:adjustRightInd/>
        <w:snapToGrid/>
        <w:spacing w:after="120" w:line="360" w:lineRule="auto"/>
        <w:ind w:firstLine="560" w:firstLineChars="200"/>
        <w:jc w:val="left"/>
        <w:textAlignment w:val="auto"/>
        <w:rPr>
          <w:rFonts w:hint="eastAsia" w:ascii="仿宋" w:hAnsi="仿宋" w:eastAsia="仿宋" w:cs="仿宋"/>
          <w:color w:val="auto"/>
          <w:kern w:val="2"/>
          <w:sz w:val="28"/>
          <w:szCs w:val="28"/>
          <w:highlight w:val="none"/>
          <w:shd w:val="clear" w:color="auto" w:fill="auto"/>
          <w:lang w:eastAsia="zh-CN"/>
        </w:rPr>
      </w:pPr>
    </w:p>
    <w:p w14:paraId="6F1C575A">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积极参与各级各类职业生涯规划大赛，简历大赛等活动及获奖情况；（</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w:t>
      </w:r>
    </w:p>
    <w:tbl>
      <w:tblPr>
        <w:tblStyle w:val="18"/>
        <w:tblpPr w:leftFromText="180" w:rightFromText="180" w:vertAnchor="text" w:horzAnchor="margin" w:tblpXSpec="center" w:tblpY="26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1616"/>
        <w:gridCol w:w="1616"/>
        <w:gridCol w:w="1617"/>
        <w:gridCol w:w="1617"/>
      </w:tblGrid>
      <w:tr w14:paraId="0790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76E9E36A">
            <w:pPr>
              <w:keepNext w:val="0"/>
              <w:keepLines w:val="0"/>
              <w:pageBreakBefore w:val="0"/>
              <w:widowControl w:val="0"/>
              <w:kinsoku/>
              <w:wordWrap/>
              <w:overflowPunct/>
              <w:topLinePunct w:val="0"/>
              <w:autoSpaceDE/>
              <w:autoSpaceDN/>
              <w:bidi w:val="0"/>
              <w:adjustRightInd/>
              <w:snapToGrid/>
              <w:spacing w:line="360" w:lineRule="auto"/>
              <w:ind w:firstLine="632"/>
              <w:jc w:val="center"/>
              <w:textAlignment w:val="auto"/>
              <w:rPr>
                <w:rFonts w:hint="eastAsia" w:ascii="仿宋" w:hAnsi="仿宋" w:eastAsia="仿宋" w:cs="仿宋"/>
                <w:color w:val="auto"/>
                <w:sz w:val="28"/>
                <w:szCs w:val="28"/>
                <w:highlight w:val="none"/>
                <w:shd w:val="clear" w:color="auto" w:fill="auto"/>
              </w:rPr>
            </w:pPr>
          </w:p>
        </w:tc>
        <w:tc>
          <w:tcPr>
            <w:tcW w:w="948" w:type="pct"/>
            <w:vAlign w:val="center"/>
          </w:tcPr>
          <w:p w14:paraId="7D2898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特等奖</w:t>
            </w:r>
          </w:p>
        </w:tc>
        <w:tc>
          <w:tcPr>
            <w:tcW w:w="948" w:type="pct"/>
            <w:vAlign w:val="center"/>
          </w:tcPr>
          <w:p w14:paraId="05222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一等奖</w:t>
            </w:r>
          </w:p>
        </w:tc>
        <w:tc>
          <w:tcPr>
            <w:tcW w:w="948" w:type="pct"/>
            <w:vAlign w:val="center"/>
          </w:tcPr>
          <w:p w14:paraId="6C8BBD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二等奖</w:t>
            </w:r>
          </w:p>
        </w:tc>
        <w:tc>
          <w:tcPr>
            <w:tcW w:w="948" w:type="pct"/>
            <w:vAlign w:val="center"/>
          </w:tcPr>
          <w:p w14:paraId="433BD5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三等奖</w:t>
            </w:r>
          </w:p>
        </w:tc>
      </w:tr>
      <w:tr w14:paraId="0276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39E4D7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国家级</w:t>
            </w:r>
          </w:p>
        </w:tc>
        <w:tc>
          <w:tcPr>
            <w:tcW w:w="948" w:type="pct"/>
            <w:vAlign w:val="center"/>
          </w:tcPr>
          <w:p w14:paraId="1669C5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c>
          <w:tcPr>
            <w:tcW w:w="948" w:type="pct"/>
            <w:vAlign w:val="center"/>
          </w:tcPr>
          <w:p w14:paraId="622CF2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c>
          <w:tcPr>
            <w:tcW w:w="948" w:type="pct"/>
            <w:vAlign w:val="center"/>
          </w:tcPr>
          <w:p w14:paraId="234420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3.3</w:t>
            </w:r>
            <w:r>
              <w:rPr>
                <w:rFonts w:hint="eastAsia" w:ascii="仿宋" w:hAnsi="仿宋" w:eastAsia="仿宋" w:cs="仿宋"/>
                <w:color w:val="auto"/>
                <w:sz w:val="28"/>
                <w:szCs w:val="28"/>
                <w:highlight w:val="none"/>
                <w:shd w:val="clear" w:color="auto" w:fill="auto"/>
              </w:rPr>
              <w:t>分</w:t>
            </w:r>
          </w:p>
        </w:tc>
        <w:tc>
          <w:tcPr>
            <w:tcW w:w="948" w:type="pct"/>
            <w:vAlign w:val="center"/>
          </w:tcPr>
          <w:p w14:paraId="26AE4B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w:t>
            </w:r>
            <w:r>
              <w:rPr>
                <w:rFonts w:hint="eastAsia" w:ascii="仿宋" w:hAnsi="仿宋" w:eastAsia="仿宋" w:cs="仿宋"/>
                <w:color w:val="auto"/>
                <w:sz w:val="28"/>
                <w:szCs w:val="28"/>
                <w:highlight w:val="none"/>
                <w:shd w:val="clear" w:color="auto" w:fill="auto"/>
              </w:rPr>
              <w:t>分</w:t>
            </w:r>
          </w:p>
        </w:tc>
      </w:tr>
      <w:tr w14:paraId="3ACD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4040C2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省级</w:t>
            </w:r>
          </w:p>
        </w:tc>
        <w:tc>
          <w:tcPr>
            <w:tcW w:w="948" w:type="pct"/>
            <w:vAlign w:val="center"/>
          </w:tcPr>
          <w:p w14:paraId="770CC8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w:t>
            </w:r>
            <w:r>
              <w:rPr>
                <w:rFonts w:hint="eastAsia" w:ascii="仿宋" w:hAnsi="仿宋" w:eastAsia="仿宋" w:cs="仿宋"/>
                <w:color w:val="auto"/>
                <w:sz w:val="28"/>
                <w:szCs w:val="28"/>
                <w:highlight w:val="none"/>
                <w:shd w:val="clear" w:color="auto" w:fill="auto"/>
              </w:rPr>
              <w:t>分</w:t>
            </w:r>
          </w:p>
        </w:tc>
        <w:tc>
          <w:tcPr>
            <w:tcW w:w="948" w:type="pct"/>
            <w:vAlign w:val="center"/>
          </w:tcPr>
          <w:p w14:paraId="4BBFBC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2.5</w:t>
            </w:r>
            <w:r>
              <w:rPr>
                <w:rFonts w:hint="eastAsia" w:ascii="仿宋" w:hAnsi="仿宋" w:eastAsia="仿宋" w:cs="仿宋"/>
                <w:color w:val="auto"/>
                <w:sz w:val="28"/>
                <w:szCs w:val="28"/>
                <w:highlight w:val="none"/>
                <w:shd w:val="clear" w:color="auto" w:fill="auto"/>
              </w:rPr>
              <w:t>分</w:t>
            </w:r>
          </w:p>
        </w:tc>
        <w:tc>
          <w:tcPr>
            <w:tcW w:w="948" w:type="pct"/>
            <w:vAlign w:val="center"/>
          </w:tcPr>
          <w:p w14:paraId="06BCA4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2.3</w:t>
            </w:r>
            <w:r>
              <w:rPr>
                <w:rFonts w:hint="eastAsia" w:ascii="仿宋" w:hAnsi="仿宋" w:eastAsia="仿宋" w:cs="仿宋"/>
                <w:color w:val="auto"/>
                <w:sz w:val="28"/>
                <w:szCs w:val="28"/>
                <w:highlight w:val="none"/>
                <w:shd w:val="clear" w:color="auto" w:fill="auto"/>
              </w:rPr>
              <w:t>分</w:t>
            </w:r>
          </w:p>
        </w:tc>
        <w:tc>
          <w:tcPr>
            <w:tcW w:w="948" w:type="pct"/>
            <w:vAlign w:val="center"/>
          </w:tcPr>
          <w:p w14:paraId="13C4DE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r>
      <w:tr w14:paraId="54A6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04FA4D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校、区级</w:t>
            </w:r>
          </w:p>
        </w:tc>
        <w:tc>
          <w:tcPr>
            <w:tcW w:w="948" w:type="pct"/>
            <w:vAlign w:val="center"/>
          </w:tcPr>
          <w:p w14:paraId="48C289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c>
          <w:tcPr>
            <w:tcW w:w="948" w:type="pct"/>
            <w:vAlign w:val="center"/>
          </w:tcPr>
          <w:p w14:paraId="6A61F7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1.7</w:t>
            </w:r>
            <w:r>
              <w:rPr>
                <w:rFonts w:hint="eastAsia" w:ascii="仿宋" w:hAnsi="仿宋" w:eastAsia="仿宋" w:cs="仿宋"/>
                <w:color w:val="auto"/>
                <w:sz w:val="28"/>
                <w:szCs w:val="28"/>
                <w:highlight w:val="none"/>
                <w:shd w:val="clear" w:color="auto" w:fill="auto"/>
              </w:rPr>
              <w:t>分</w:t>
            </w:r>
          </w:p>
        </w:tc>
        <w:tc>
          <w:tcPr>
            <w:tcW w:w="948" w:type="pct"/>
            <w:vAlign w:val="center"/>
          </w:tcPr>
          <w:p w14:paraId="19FED0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c>
          <w:tcPr>
            <w:tcW w:w="948" w:type="pct"/>
            <w:vAlign w:val="center"/>
          </w:tcPr>
          <w:p w14:paraId="5323E1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1.2</w:t>
            </w:r>
            <w:r>
              <w:rPr>
                <w:rFonts w:hint="eastAsia" w:ascii="仿宋" w:hAnsi="仿宋" w:eastAsia="仿宋" w:cs="仿宋"/>
                <w:color w:val="auto"/>
                <w:sz w:val="28"/>
                <w:szCs w:val="28"/>
                <w:highlight w:val="none"/>
                <w:shd w:val="clear" w:color="auto" w:fill="auto"/>
              </w:rPr>
              <w:t>分</w:t>
            </w:r>
          </w:p>
        </w:tc>
      </w:tr>
      <w:tr w14:paraId="34FE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5A6C3C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院级</w:t>
            </w:r>
          </w:p>
        </w:tc>
        <w:tc>
          <w:tcPr>
            <w:tcW w:w="948" w:type="pct"/>
            <w:vAlign w:val="center"/>
          </w:tcPr>
          <w:p w14:paraId="622B40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1.2</w:t>
            </w:r>
            <w:r>
              <w:rPr>
                <w:rFonts w:hint="eastAsia" w:ascii="仿宋" w:hAnsi="仿宋" w:eastAsia="仿宋" w:cs="仿宋"/>
                <w:color w:val="auto"/>
                <w:sz w:val="28"/>
                <w:szCs w:val="28"/>
                <w:highlight w:val="none"/>
                <w:shd w:val="clear" w:color="auto" w:fill="auto"/>
              </w:rPr>
              <w:t>分</w:t>
            </w:r>
          </w:p>
        </w:tc>
        <w:tc>
          <w:tcPr>
            <w:tcW w:w="948" w:type="pct"/>
            <w:vAlign w:val="center"/>
          </w:tcPr>
          <w:p w14:paraId="3C6AEF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w:t>
            </w:r>
            <w:r>
              <w:rPr>
                <w:rFonts w:hint="eastAsia" w:ascii="仿宋" w:hAnsi="仿宋" w:eastAsia="仿宋" w:cs="仿宋"/>
                <w:color w:val="auto"/>
                <w:sz w:val="28"/>
                <w:szCs w:val="28"/>
                <w:highlight w:val="none"/>
                <w:shd w:val="clear" w:color="auto" w:fill="auto"/>
              </w:rPr>
              <w:t>分</w:t>
            </w:r>
          </w:p>
        </w:tc>
        <w:tc>
          <w:tcPr>
            <w:tcW w:w="948" w:type="pct"/>
            <w:vAlign w:val="center"/>
          </w:tcPr>
          <w:p w14:paraId="137DB9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0.7</w:t>
            </w:r>
            <w:r>
              <w:rPr>
                <w:rFonts w:hint="eastAsia" w:ascii="仿宋" w:hAnsi="仿宋" w:eastAsia="仿宋" w:cs="仿宋"/>
                <w:color w:val="auto"/>
                <w:sz w:val="28"/>
                <w:szCs w:val="28"/>
                <w:highlight w:val="none"/>
                <w:shd w:val="clear" w:color="auto" w:fill="auto"/>
              </w:rPr>
              <w:t>分</w:t>
            </w:r>
          </w:p>
        </w:tc>
        <w:tc>
          <w:tcPr>
            <w:tcW w:w="948" w:type="pct"/>
            <w:vAlign w:val="center"/>
          </w:tcPr>
          <w:p w14:paraId="1CA9DF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0.5</w:t>
            </w:r>
            <w:r>
              <w:rPr>
                <w:rFonts w:hint="eastAsia" w:ascii="仿宋" w:hAnsi="仿宋" w:eastAsia="仿宋" w:cs="仿宋"/>
                <w:color w:val="auto"/>
                <w:sz w:val="28"/>
                <w:szCs w:val="28"/>
                <w:highlight w:val="none"/>
                <w:shd w:val="clear" w:color="auto" w:fill="auto"/>
              </w:rPr>
              <w:t>分</w:t>
            </w:r>
          </w:p>
        </w:tc>
      </w:tr>
    </w:tbl>
    <w:p w14:paraId="183993D5">
      <w:pPr>
        <w:pStyle w:val="11"/>
        <w:numPr>
          <w:ilvl w:val="0"/>
          <w:numId w:val="0"/>
        </w:numPr>
        <w:ind w:left="480" w:leftChars="0"/>
        <w:rPr>
          <w:rFonts w:ascii="Times New Roman" w:hAnsi="Times New Roman" w:eastAsia="宋体" w:cs="Times New Roman"/>
          <w:b w:val="0"/>
          <w:color w:val="auto"/>
          <w:sz w:val="24"/>
          <w:szCs w:val="24"/>
          <w:highlight w:val="none"/>
        </w:rPr>
      </w:pPr>
    </w:p>
    <w:p w14:paraId="41A0847D">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通过国家大学英语四、六级考试，参加雅思考试获6.5分及以上成绩，参加托福考试获95分及以上成绩；（</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3BD1B480">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本学年参加英语四级统考通过者计</w:t>
      </w:r>
      <w:r>
        <w:rPr>
          <w:rFonts w:hint="eastAsia" w:ascii="仿宋" w:hAnsi="仿宋" w:eastAsia="仿宋" w:cs="仿宋"/>
          <w:color w:val="auto"/>
          <w:sz w:val="28"/>
          <w:szCs w:val="28"/>
          <w:highlight w:val="none"/>
          <w:lang w:val="en-US" w:eastAsia="zh-CN"/>
        </w:rPr>
        <w:t>0.2</w:t>
      </w:r>
      <w:r>
        <w:rPr>
          <w:rFonts w:hint="eastAsia" w:ascii="仿宋" w:hAnsi="仿宋" w:eastAsia="仿宋" w:cs="仿宋"/>
          <w:color w:val="auto"/>
          <w:sz w:val="28"/>
          <w:szCs w:val="28"/>
          <w:highlight w:val="none"/>
        </w:rPr>
        <w:t>分，优秀者计</w:t>
      </w:r>
      <w:r>
        <w:rPr>
          <w:rFonts w:hint="eastAsia" w:ascii="仿宋" w:hAnsi="仿宋" w:eastAsia="仿宋" w:cs="仿宋"/>
          <w:color w:val="auto"/>
          <w:sz w:val="28"/>
          <w:szCs w:val="28"/>
          <w:highlight w:val="none"/>
          <w:lang w:val="en-US" w:eastAsia="zh-CN"/>
        </w:rPr>
        <w:t>0.4</w:t>
      </w:r>
      <w:r>
        <w:rPr>
          <w:rFonts w:hint="eastAsia" w:ascii="仿宋" w:hAnsi="仿宋" w:eastAsia="仿宋" w:cs="仿宋"/>
          <w:color w:val="auto"/>
          <w:sz w:val="28"/>
          <w:szCs w:val="28"/>
          <w:highlight w:val="none"/>
        </w:rPr>
        <w:t>分；参加英语六级统考通过者计</w:t>
      </w:r>
      <w:r>
        <w:rPr>
          <w:rFonts w:hint="eastAsia" w:ascii="仿宋" w:hAnsi="仿宋" w:eastAsia="仿宋" w:cs="仿宋"/>
          <w:color w:val="auto"/>
          <w:sz w:val="28"/>
          <w:szCs w:val="28"/>
          <w:highlight w:val="none"/>
          <w:lang w:val="en-US" w:eastAsia="zh-CN"/>
        </w:rPr>
        <w:t>0.4</w:t>
      </w:r>
      <w:r>
        <w:rPr>
          <w:rFonts w:hint="eastAsia" w:ascii="仿宋" w:hAnsi="仿宋" w:eastAsia="仿宋" w:cs="仿宋"/>
          <w:color w:val="auto"/>
          <w:sz w:val="28"/>
          <w:szCs w:val="28"/>
          <w:highlight w:val="none"/>
        </w:rPr>
        <w:t>分，优秀者计</w:t>
      </w:r>
      <w:r>
        <w:rPr>
          <w:rFonts w:hint="eastAsia" w:ascii="仿宋" w:hAnsi="仿宋" w:eastAsia="仿宋" w:cs="仿宋"/>
          <w:color w:val="auto"/>
          <w:sz w:val="28"/>
          <w:szCs w:val="28"/>
          <w:highlight w:val="none"/>
          <w:lang w:val="en-US" w:eastAsia="zh-CN"/>
        </w:rPr>
        <w:t>0.6</w:t>
      </w:r>
      <w:r>
        <w:rPr>
          <w:rFonts w:hint="eastAsia" w:ascii="仿宋" w:hAnsi="仿宋" w:eastAsia="仿宋" w:cs="仿宋"/>
          <w:color w:val="auto"/>
          <w:sz w:val="28"/>
          <w:szCs w:val="28"/>
          <w:highlight w:val="none"/>
        </w:rPr>
        <w:t>分（四、六级考试425分为通过，四级550分以上为优秀，六级520分以上为优秀，以成绩单为准）；</w:t>
      </w:r>
    </w:p>
    <w:p w14:paraId="59A54188">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本学年雅思6.5分（单分不低于5.5）托福95分、GRE1200分以上者计</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分（以成绩单为准）；</w:t>
      </w:r>
    </w:p>
    <w:p w14:paraId="0994DA3E">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本学年通过英语口语A、B、C级分别计0.</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分、0.</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分、0.</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分（以成绩单或证书为准）。</w:t>
      </w:r>
    </w:p>
    <w:p w14:paraId="36E34BF5">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考取国家承认的或与所学专业能力高度相关的各类能力等级或职业资格书（</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5DB8A0DF">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本年度获得与职业发展相关的资格认证证书的每证加0.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分，证书包括有日语能力考试证书（前提通过相应的四六级考试），德语德福、DSH证书（前提通过相应的四六级考试），教师资格证、普通话证书、</w:t>
      </w:r>
      <w:r>
        <w:rPr>
          <w:rFonts w:hint="eastAsia" w:ascii="仿宋" w:hAnsi="仿宋" w:eastAsia="仿宋" w:cs="仿宋"/>
          <w:color w:val="auto"/>
          <w:sz w:val="28"/>
          <w:szCs w:val="28"/>
          <w:highlight w:val="none"/>
          <w:lang w:val="en-US" w:eastAsia="zh-CN"/>
        </w:rPr>
        <w:t>机动车驾驶证、</w:t>
      </w:r>
      <w:r>
        <w:rPr>
          <w:rFonts w:hint="eastAsia" w:ascii="仿宋" w:hAnsi="仿宋" w:eastAsia="仿宋" w:cs="仿宋"/>
          <w:color w:val="auto"/>
          <w:sz w:val="28"/>
          <w:szCs w:val="28"/>
          <w:highlight w:val="none"/>
        </w:rPr>
        <w:t>计算机二级（三级）证书等，未涉及的证书要将复印件上交，由学院认定；</w:t>
      </w:r>
    </w:p>
    <w:p w14:paraId="574B6CA2">
      <w:pPr>
        <w:pStyle w:val="11"/>
        <w:numPr>
          <w:ilvl w:val="0"/>
          <w:numId w:val="17"/>
        </w:numPr>
        <w:bidi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国际交流与跨文化实践（5分）</w:t>
      </w:r>
    </w:p>
    <w:p w14:paraId="37EDD9B7">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参与校级及以上海外交换项目、</w:t>
      </w:r>
      <w:r>
        <w:rPr>
          <w:rFonts w:hint="eastAsia" w:ascii="仿宋" w:hAnsi="仿宋" w:eastAsia="仿宋" w:cs="仿宋"/>
          <w:color w:val="auto"/>
          <w:sz w:val="28"/>
          <w:szCs w:val="28"/>
          <w:highlight w:val="none"/>
          <w:lang w:val="en-US" w:eastAsia="zh-CN"/>
        </w:rPr>
        <w:t>假</w:t>
      </w:r>
      <w:r>
        <w:rPr>
          <w:rFonts w:hint="eastAsia" w:ascii="仿宋" w:hAnsi="仿宋" w:eastAsia="仿宋" w:cs="仿宋"/>
          <w:color w:val="auto"/>
          <w:sz w:val="28"/>
          <w:szCs w:val="28"/>
          <w:highlight w:val="none"/>
        </w:rPr>
        <w:t>期学校或学术访问</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其他国际交流活动</w:t>
      </w:r>
      <w:r>
        <w:rPr>
          <w:rFonts w:hint="eastAsia" w:ascii="仿宋" w:hAnsi="仿宋" w:eastAsia="仿宋" w:cs="仿宋"/>
          <w:color w:val="auto"/>
          <w:sz w:val="28"/>
          <w:szCs w:val="28"/>
          <w:highlight w:val="none"/>
        </w:rPr>
        <w:t>，并完成学分认定或获得结业证书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经学院认定后计3分，可累计加分</w:t>
      </w:r>
      <w:r>
        <w:rPr>
          <w:rFonts w:hint="eastAsia" w:ascii="仿宋" w:hAnsi="仿宋" w:eastAsia="仿宋" w:cs="仿宋"/>
          <w:color w:val="auto"/>
          <w:sz w:val="28"/>
          <w:szCs w:val="28"/>
          <w:highlight w:val="none"/>
        </w:rPr>
        <w:t>；</w:t>
      </w:r>
    </w:p>
    <w:p w14:paraId="040EA564">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积极申请联合国粮农组织(FAO)、世界银行等国际组织远程实习或模拟实训，经组织单位认定的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经学院认定后计3分，可累计加分</w:t>
      </w:r>
      <w:r>
        <w:rPr>
          <w:rFonts w:hint="eastAsia" w:ascii="仿宋" w:hAnsi="仿宋" w:eastAsia="仿宋" w:cs="仿宋"/>
          <w:color w:val="auto"/>
          <w:sz w:val="28"/>
          <w:szCs w:val="28"/>
          <w:highlight w:val="none"/>
        </w:rPr>
        <w:t>。</w:t>
      </w:r>
    </w:p>
    <w:p w14:paraId="001414BC">
      <w:pPr>
        <w:pStyle w:val="11"/>
        <w:numPr>
          <w:ilvl w:val="0"/>
          <w:numId w:val="17"/>
        </w:numPr>
        <w:bidi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学术研究与创新成果（5分）</w:t>
      </w:r>
    </w:p>
    <w:p w14:paraId="3D7B3276">
      <w:pPr>
        <w:pStyle w:val="11"/>
        <w:rPr>
          <w:rFonts w:ascii="Times New Roman" w:hAnsi="Times New Roman" w:eastAsia="宋体" w:cs="Times New Roman"/>
          <w:color w:val="auto"/>
          <w:sz w:val="24"/>
          <w:szCs w:val="24"/>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在各级各类学术会议上作报告或收入学术会议论文集,每次</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p>
    <w:p w14:paraId="6A9ABF7A">
      <w:pPr>
        <w:pStyle w:val="11"/>
        <w:numPr>
          <w:ilvl w:val="0"/>
          <w:numId w:val="17"/>
        </w:numPr>
        <w:bidi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经学院认定的其他加分项。（10分）</w:t>
      </w:r>
    </w:p>
    <w:p w14:paraId="48634BCC">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独立或共同公开发表和本专业相关的论文、专著；（</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分）</w:t>
      </w:r>
    </w:p>
    <w:p w14:paraId="0939D519">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以第一作者发表的论文被SCI、EI、SSCI三大检索系统收录者计</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分，被一级学报收录者计</w:t>
      </w:r>
      <w:r>
        <w:rPr>
          <w:rFonts w:hint="eastAsia" w:ascii="仿宋" w:hAnsi="仿宋" w:eastAsia="仿宋" w:cs="仿宋"/>
          <w:color w:val="auto"/>
          <w:sz w:val="28"/>
          <w:szCs w:val="28"/>
          <w:highlight w:val="none"/>
          <w:lang w:val="en-US" w:eastAsia="zh-CN"/>
        </w:rPr>
        <w:t>4.5</w:t>
      </w:r>
      <w:r>
        <w:rPr>
          <w:rFonts w:hint="eastAsia" w:ascii="仿宋" w:hAnsi="仿宋" w:eastAsia="仿宋" w:cs="仿宋"/>
          <w:color w:val="auto"/>
          <w:sz w:val="28"/>
          <w:szCs w:val="28"/>
          <w:highlight w:val="none"/>
        </w:rPr>
        <w:t>分，被核心期刊（以学校图书馆官网中文核心期刊目录收录期刊为主）收录者计</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分，被一般性公开刊物收录（知网收录）者计</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分；刊物类别由专业教师判定。第二作者按第一作者计分分值的80%核算，第三作者及以后按第一作者计分分值的50%核算（以论文及所发表的刊物为准）；</w:t>
      </w:r>
    </w:p>
    <w:p w14:paraId="28E37AD7">
      <w:pPr>
        <w:pStyle w:val="1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独立或共同获得发明专利、实用新型专利、外观设计专利或软件著作权；项目发明人排序第一位计</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分，第二位计</w:t>
      </w:r>
      <w:r>
        <w:rPr>
          <w:rFonts w:hint="eastAsia" w:ascii="仿宋" w:hAnsi="仿宋" w:eastAsia="仿宋" w:cs="仿宋"/>
          <w:color w:val="auto"/>
          <w:sz w:val="28"/>
          <w:szCs w:val="28"/>
          <w:highlight w:val="none"/>
          <w:lang w:val="en-US" w:eastAsia="zh-CN"/>
        </w:rPr>
        <w:t>4.5</w:t>
      </w:r>
      <w:r>
        <w:rPr>
          <w:rFonts w:hint="eastAsia" w:ascii="仿宋" w:hAnsi="仿宋" w:eastAsia="仿宋" w:cs="仿宋"/>
          <w:color w:val="auto"/>
          <w:sz w:val="28"/>
          <w:szCs w:val="28"/>
          <w:highlight w:val="none"/>
        </w:rPr>
        <w:t>分，其他计</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分（2分）</w:t>
      </w:r>
    </w:p>
    <w:p w14:paraId="2F28587C">
      <w:pPr>
        <w:pStyle w:val="16"/>
        <w:numPr>
          <w:ilvl w:val="0"/>
          <w:numId w:val="1"/>
        </w:numPr>
        <w:rPr>
          <w:highlight w:val="none"/>
        </w:rPr>
      </w:pPr>
      <w:r>
        <w:rPr>
          <w:highlight w:val="none"/>
        </w:rPr>
        <w:t>体育素质测评标准</w:t>
      </w:r>
    </w:p>
    <w:p w14:paraId="64628481">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体育素质测能力测评模块突出大学生身体素质与健康，强化引导学生养成良好锻炼习惯和健康生活方式，锤炼坚强意志，培养合作精神的教育，帮助学生在体育锻炼中享受乐趣、增强体质、健全人格、锤炼意志。</w:t>
      </w:r>
    </w:p>
    <w:p w14:paraId="751329BA">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体育素质测评内容主要包括学生体质健康基础、掌握体育技能、参加课外体育锻炼、体育竞赛和体育文化活动展演等方面的表现。体育素质测评采用百分制，测评成绩T包括学生体质健康基础得分T1和体育成果性评价得分T2两部分。该项总分不超过100分，累计得分超过100分的按100分计。</w:t>
      </w:r>
    </w:p>
    <w:p w14:paraId="3E6C2B2A">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学生体质健康基础得分占比为60分，以学年内的国家学生体质健康标准测试成绩（以下简称“体测成绩”）计算。学生体质健康基础成绩=体测成绩×60%。</w:t>
      </w:r>
      <w:r>
        <w:rPr>
          <w:rFonts w:hint="eastAsia" w:ascii="仿宋" w:hAnsi="仿宋" w:eastAsia="仿宋" w:cs="Times New Roman"/>
          <w:b/>
          <w:bCs/>
          <w:color w:val="auto"/>
          <w:kern w:val="2"/>
          <w:sz w:val="28"/>
          <w:szCs w:val="28"/>
          <w:highlight w:val="none"/>
          <w:shd w:val="clear" w:color="auto" w:fill="auto"/>
          <w:lang w:val="en-US" w:eastAsia="zh-CN" w:bidi="ar-SA"/>
        </w:rPr>
        <w:t>免修体测者，按36分计入。</w:t>
      </w:r>
    </w:p>
    <w:p w14:paraId="035B2ACC">
      <w:pPr>
        <w:pStyle w:val="11"/>
        <w:widowControl/>
        <w:numPr>
          <w:ilvl w:val="0"/>
          <w:numId w:val="2"/>
        </w:numPr>
        <w:ind w:left="0" w:leftChars="0" w:firstLine="482" w:firstLine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体育成果性评价总分原则上为40分，累计得分超过40分的以40分计。测评内容主要包括日常体育锻炼、竞技体育表现、文化活动展演等部分。由各学院测评工作组依据学院测评细则对学生相关表现进行综合评价赋分。</w:t>
      </w:r>
    </w:p>
    <w:p w14:paraId="3FFCC5B4">
      <w:pPr>
        <w:pStyle w:val="11"/>
        <w:widowControl/>
        <w:numPr>
          <w:ilvl w:val="0"/>
          <w:numId w:val="0"/>
        </w:numPr>
        <w:ind w:left="482" w:left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（一）日常体育锻炼（25分）</w:t>
      </w:r>
    </w:p>
    <w:p w14:paraId="1911EB2F">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1.学生课外APP中长跑锻炼成绩占比为10分，以学年内的学生课外APP中长跑锻炼完成情况计算；（10分）</w:t>
      </w:r>
    </w:p>
    <w:p w14:paraId="7698FD02">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完成本学年乐跑任务的加10分</w:t>
      </w:r>
    </w:p>
    <w:p w14:paraId="0E4296F3">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未完成规定任务的根据完成次数按比例加分</w:t>
      </w:r>
    </w:p>
    <w:p w14:paraId="00CAA12D">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例如：本学年要求乐跑任务为60次，学生完成45次，应加【45/60*10】分</w:t>
      </w:r>
    </w:p>
    <w:p w14:paraId="46B4C9B8">
      <w:pPr>
        <w:pStyle w:val="11"/>
        <w:numPr>
          <w:ilvl w:val="0"/>
          <w:numId w:val="21"/>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申请免跑并通过审核的学生按照乐跑总分的45%加分，即4.5分。</w:t>
      </w:r>
    </w:p>
    <w:p w14:paraId="0B321254">
      <w:pPr>
        <w:pStyle w:val="11"/>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2.体测成绩优秀（90分及以上）最多可加10分，良好（80～90分）最多可加5分；（10分）</w:t>
      </w:r>
    </w:p>
    <w:p w14:paraId="15CE7B46">
      <w:pPr>
        <w:keepNext w:val="0"/>
        <w:keepLines w:val="0"/>
        <w:widowControl/>
        <w:numPr>
          <w:ilvl w:val="0"/>
          <w:numId w:val="0"/>
        </w:numPr>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加分分数=（体测分数-80）/2，四舍五入，负分不扣；</w:t>
      </w:r>
    </w:p>
    <w:p w14:paraId="6C65F0E0">
      <w:pPr>
        <w:keepNext w:val="0"/>
        <w:keepLines w:val="0"/>
        <w:widowControl/>
        <w:numPr>
          <w:ilvl w:val="0"/>
          <w:numId w:val="0"/>
        </w:numPr>
        <w:suppressLineNumbers w:val="0"/>
        <w:ind w:firstLine="560" w:firstLineChars="200"/>
        <w:jc w:val="left"/>
        <w:rPr>
          <w:rFonts w:ascii="Times New Roman" w:hAnsi="Times New Roman" w:eastAsia="宋体" w:cs="Times New Roman"/>
          <w:b w:val="0"/>
          <w:color w:val="auto"/>
          <w:sz w:val="24"/>
          <w:szCs w:val="24"/>
        </w:rPr>
      </w:pPr>
      <w:r>
        <w:rPr>
          <w:rFonts w:hint="eastAsia" w:ascii="仿宋" w:hAnsi="仿宋" w:eastAsia="仿宋" w:cs="Times New Roman"/>
          <w:color w:val="auto"/>
          <w:kern w:val="2"/>
          <w:sz w:val="28"/>
          <w:szCs w:val="28"/>
          <w:highlight w:val="none"/>
          <w:shd w:val="clear" w:color="auto" w:fill="auto"/>
          <w:lang w:val="en-US" w:eastAsia="zh-CN" w:bidi="ar-SA"/>
        </w:rPr>
        <w:t>3.加入校、院级各类体育运动队并坚持日常训练；（3分）</w:t>
      </w:r>
    </w:p>
    <w:p w14:paraId="27146BF7">
      <w:pPr>
        <w:pStyle w:val="11"/>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参与校园体育社团、运动队（学校或学院备案过的相关队伍），并遵守队伍管理规定按时训练，队伍每人加1分（可累计）；</w:t>
      </w:r>
    </w:p>
    <w:p w14:paraId="54EBBAF3">
      <w:pPr>
        <w:keepNext w:val="0"/>
        <w:keepLines w:val="0"/>
        <w:widowControl/>
        <w:numPr>
          <w:ilvl w:val="0"/>
          <w:numId w:val="14"/>
        </w:numPr>
        <w:suppressLineNumbers w:val="0"/>
        <w:ind w:left="0" w:leftChars="0" w:firstLine="480" w:firstLineChars="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积极参加“阳光体育”系列活动、体育类社团、校园马拉松等群众性课外体育活动；（2分）</w:t>
      </w:r>
    </w:p>
    <w:p w14:paraId="422814EA">
      <w:pPr>
        <w:pStyle w:val="11"/>
        <w:widowControl/>
        <w:numPr>
          <w:ilvl w:val="0"/>
          <w:numId w:val="0"/>
        </w:numPr>
        <w:topLinePunct w:val="0"/>
        <w:ind w:firstLine="560" w:firstLineChars="200"/>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经学院认定的体育类通报加分，每次活动加0.4分。（需要辅导员签字证明材料）</w:t>
      </w:r>
    </w:p>
    <w:p w14:paraId="0FA17C3C">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5.获得各级各类体育类证书。（2分）</w:t>
      </w:r>
    </w:p>
    <w:p w14:paraId="6547988C">
      <w:pPr>
        <w:keepNext w:val="0"/>
        <w:keepLines w:val="0"/>
        <w:widowControl/>
        <w:suppressLineNumbers w:val="0"/>
        <w:ind w:firstLine="560" w:firstLineChars="200"/>
        <w:jc w:val="left"/>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仿宋"/>
          <w:color w:val="auto"/>
          <w:sz w:val="28"/>
          <w:szCs w:val="28"/>
          <w:highlight w:val="none"/>
        </w:rPr>
        <w:t>本年度</w:t>
      </w:r>
      <w:r>
        <w:rPr>
          <w:rFonts w:hint="eastAsia" w:ascii="仿宋" w:hAnsi="仿宋" w:eastAsia="仿宋" w:cs="Times New Roman"/>
          <w:color w:val="auto"/>
          <w:kern w:val="2"/>
          <w:sz w:val="28"/>
          <w:szCs w:val="28"/>
          <w:highlight w:val="none"/>
          <w:shd w:val="clear" w:color="auto" w:fill="auto"/>
          <w:lang w:val="en-US" w:eastAsia="zh-CN" w:bidi="ar-SA"/>
        </w:rPr>
        <w:t>各级各类体育类</w:t>
      </w:r>
      <w:r>
        <w:rPr>
          <w:rFonts w:hint="eastAsia" w:ascii="仿宋" w:hAnsi="仿宋" w:eastAsia="仿宋" w:cs="仿宋"/>
          <w:color w:val="auto"/>
          <w:sz w:val="28"/>
          <w:szCs w:val="28"/>
          <w:highlight w:val="none"/>
        </w:rPr>
        <w:t>证书的每证加0.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如裁判证、国家二级运动员证等，可累计得分。</w:t>
      </w:r>
    </w:p>
    <w:p w14:paraId="375F6E0F">
      <w:pPr>
        <w:pStyle w:val="11"/>
        <w:widowControl/>
        <w:numPr>
          <w:ilvl w:val="0"/>
          <w:numId w:val="0"/>
        </w:numPr>
        <w:ind w:left="482" w:leftChars="0"/>
      </w:pPr>
      <w:r>
        <w:rPr>
          <w:rFonts w:hint="eastAsia" w:ascii="仿宋" w:hAnsi="仿宋" w:eastAsia="仿宋" w:cs="Times New Roman"/>
          <w:b/>
          <w:bCs/>
          <w:color w:val="auto"/>
          <w:kern w:val="2"/>
          <w:sz w:val="28"/>
          <w:szCs w:val="28"/>
          <w:highlight w:val="none"/>
          <w:shd w:val="clear" w:color="auto" w:fill="auto"/>
          <w:lang w:val="en-US" w:eastAsia="zh-CN" w:bidi="ar-SA"/>
        </w:rPr>
        <w:t>（二）竞技体育表现（10分）</w:t>
      </w:r>
    </w:p>
    <w:p w14:paraId="4BD2AE0A">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 xml:space="preserve">1.代表学校参加国家级、省级各级体育竞赛，按照体育赛事活动级别和获奖等级给予分层赋分； </w:t>
      </w:r>
    </w:p>
    <w:p w14:paraId="0166C44B">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2.参加学校、学院各类体育竞赛并获奖。</w:t>
      </w:r>
    </w:p>
    <w:p w14:paraId="65C80C35">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参加校级以上（含校级）运动会或者校级以上（含校级）体育活动（以获奖证书或通报表扬文件为认证依据）：</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0"/>
        <w:gridCol w:w="1543"/>
        <w:gridCol w:w="1663"/>
        <w:gridCol w:w="1849"/>
        <w:gridCol w:w="2057"/>
      </w:tblGrid>
      <w:tr w14:paraId="0A16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tcPr>
          <w:p w14:paraId="14EC7CCA">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p>
        </w:tc>
        <w:tc>
          <w:tcPr>
            <w:tcW w:w="905" w:type="pct"/>
          </w:tcPr>
          <w:p w14:paraId="3BB65EC9">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第一名</w:t>
            </w:r>
          </w:p>
        </w:tc>
        <w:tc>
          <w:tcPr>
            <w:tcW w:w="975" w:type="pct"/>
          </w:tcPr>
          <w:p w14:paraId="1D4E8E0D">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第二名</w:t>
            </w:r>
          </w:p>
        </w:tc>
        <w:tc>
          <w:tcPr>
            <w:tcW w:w="1084" w:type="pct"/>
          </w:tcPr>
          <w:p w14:paraId="629EDDED">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第三名</w:t>
            </w:r>
          </w:p>
        </w:tc>
        <w:tc>
          <w:tcPr>
            <w:tcW w:w="1206" w:type="pct"/>
          </w:tcPr>
          <w:p w14:paraId="52489523">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其他</w:t>
            </w:r>
          </w:p>
        </w:tc>
      </w:tr>
      <w:tr w14:paraId="5A81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tcPr>
          <w:p w14:paraId="3F804FEF">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国家级</w:t>
            </w:r>
          </w:p>
        </w:tc>
        <w:tc>
          <w:tcPr>
            <w:tcW w:w="905" w:type="pct"/>
          </w:tcPr>
          <w:p w14:paraId="287D2BDE">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5</w:t>
            </w:r>
          </w:p>
        </w:tc>
        <w:tc>
          <w:tcPr>
            <w:tcW w:w="975" w:type="pct"/>
          </w:tcPr>
          <w:p w14:paraId="6AC978E5">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4.5</w:t>
            </w:r>
          </w:p>
        </w:tc>
        <w:tc>
          <w:tcPr>
            <w:tcW w:w="1084" w:type="pct"/>
          </w:tcPr>
          <w:p w14:paraId="701D6C1D">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4</w:t>
            </w:r>
          </w:p>
        </w:tc>
        <w:tc>
          <w:tcPr>
            <w:tcW w:w="1206" w:type="pct"/>
          </w:tcPr>
          <w:p w14:paraId="74D7F59E">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r w14:paraId="644A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tcPr>
          <w:p w14:paraId="472E6A11">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省级</w:t>
            </w:r>
          </w:p>
        </w:tc>
        <w:tc>
          <w:tcPr>
            <w:tcW w:w="905" w:type="pct"/>
          </w:tcPr>
          <w:p w14:paraId="0511EC3B">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3.5</w:t>
            </w:r>
          </w:p>
        </w:tc>
        <w:tc>
          <w:tcPr>
            <w:tcW w:w="975" w:type="pct"/>
          </w:tcPr>
          <w:p w14:paraId="67373A57">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3.2</w:t>
            </w:r>
          </w:p>
        </w:tc>
        <w:tc>
          <w:tcPr>
            <w:tcW w:w="1084" w:type="pct"/>
          </w:tcPr>
          <w:p w14:paraId="523FD552">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2.9</w:t>
            </w:r>
          </w:p>
        </w:tc>
        <w:tc>
          <w:tcPr>
            <w:tcW w:w="1206" w:type="pct"/>
          </w:tcPr>
          <w:p w14:paraId="41DBE140">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r w14:paraId="377C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pct"/>
          </w:tcPr>
          <w:p w14:paraId="387EE1E8">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eastAsia" w:ascii="仿宋" w:hAnsi="仿宋" w:eastAsia="仿宋" w:cs="仿宋"/>
                <w:color w:val="auto"/>
                <w:sz w:val="28"/>
                <w:szCs w:val="28"/>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校级</w:t>
            </w:r>
          </w:p>
        </w:tc>
        <w:tc>
          <w:tcPr>
            <w:tcW w:w="905" w:type="pct"/>
          </w:tcPr>
          <w:p w14:paraId="3B707F90">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2.5</w:t>
            </w:r>
          </w:p>
        </w:tc>
        <w:tc>
          <w:tcPr>
            <w:tcW w:w="975" w:type="pct"/>
          </w:tcPr>
          <w:p w14:paraId="74967DEC">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2.2</w:t>
            </w:r>
          </w:p>
        </w:tc>
        <w:tc>
          <w:tcPr>
            <w:tcW w:w="1084" w:type="pct"/>
          </w:tcPr>
          <w:p w14:paraId="42773384">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w:t>
            </w:r>
          </w:p>
        </w:tc>
        <w:tc>
          <w:tcPr>
            <w:tcW w:w="1206" w:type="pct"/>
          </w:tcPr>
          <w:p w14:paraId="7109F1BB">
            <w:pPr>
              <w:pStyle w:val="12"/>
              <w:keepNext w:val="0"/>
              <w:keepLines w:val="0"/>
              <w:pageBreakBefore w:val="0"/>
              <w:numPr>
                <w:ilvl w:val="0"/>
                <w:numId w:val="0"/>
              </w:numPr>
              <w:kinsoku/>
              <w:wordWrap/>
              <w:overflowPunct/>
              <w:topLinePunct w:val="0"/>
              <w:bidi w:val="0"/>
              <w:snapToGrid/>
              <w:spacing w:line="360" w:lineRule="auto"/>
              <w:jc w:val="center"/>
              <w:textAlignment w:val="auto"/>
              <w:rPr>
                <w:rFonts w:hint="default" w:ascii="仿宋" w:hAnsi="仿宋" w:eastAsia="仿宋" w:cs="仿宋"/>
                <w:color w:val="auto"/>
                <w:sz w:val="28"/>
                <w:szCs w:val="28"/>
                <w:shd w:val="clear" w:color="auto" w:fill="auto"/>
                <w:vertAlign w:val="baseline"/>
                <w:lang w:val="en-US"/>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bl>
    <w:p w14:paraId="60312BEC">
      <w:pPr>
        <w:pStyle w:val="11"/>
        <w:numPr>
          <w:ilvl w:val="0"/>
          <w:numId w:val="22"/>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体育队伍在校级以上（含校级）比赛中获得第一名时参赛队员加2.5分，队伍在比赛中获得第二名时参赛队员加2分，第三名加1.8分，增加一个名次递减0.2分，至第八名止（以获奖证书或通报表扬文件为认证依据）；</w:t>
      </w:r>
    </w:p>
    <w:p w14:paraId="626ABEB3">
      <w:pPr>
        <w:pStyle w:val="11"/>
        <w:numPr>
          <w:ilvl w:val="0"/>
          <w:numId w:val="22"/>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加院级运动会或者院级体育活动个人获得第一名加1.6分，第二名加1.4分，第三名加1.2分，增加一个名次递减0.2分，至第八名止，一等奖视为第一名，二等奖视为第二名，三等奖视为第三名（以获奖证书或通报表扬文件为认证依据）；</w:t>
      </w:r>
    </w:p>
    <w:p w14:paraId="540CDABE">
      <w:pPr>
        <w:pStyle w:val="11"/>
        <w:widowControl/>
        <w:numPr>
          <w:ilvl w:val="0"/>
          <w:numId w:val="0"/>
        </w:numPr>
        <w:ind w:left="482" w:left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（三）文化活动展演（5分）</w:t>
      </w:r>
    </w:p>
    <w:p w14:paraId="1B20234A">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参与校级及以上各类体育赛事开闭幕式等团体或个人表演项目。</w:t>
      </w:r>
    </w:p>
    <w:p w14:paraId="1C59D35C">
      <w:pPr>
        <w:pStyle w:val="11"/>
        <w:numPr>
          <w:ilvl w:val="0"/>
          <w:numId w:val="0"/>
        </w:numPr>
        <w:ind w:left="480" w:left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（1）参加校运会开幕式学院方阵，每人加1分；</w:t>
      </w:r>
    </w:p>
    <w:p w14:paraId="5C70D0C6">
      <w:pPr>
        <w:pStyle w:val="11"/>
        <w:numPr>
          <w:ilvl w:val="0"/>
          <w:numId w:val="0"/>
        </w:numPr>
        <w:ind w:left="480" w:leftChars="0"/>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（2）其他校级及以上各类体育赛事团体或个人表演项目，经学院认定后计分。</w:t>
      </w:r>
    </w:p>
    <w:p w14:paraId="3A2EE7BD">
      <w:pPr>
        <w:pStyle w:val="11"/>
        <w:widowControl/>
        <w:numPr>
          <w:ilvl w:val="0"/>
          <w:numId w:val="12"/>
        </w:numPr>
        <w:ind w:left="0" w:leftChars="0" w:firstLine="562" w:firstLineChars="20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经学院认定的其他加分项（10分）</w:t>
      </w:r>
    </w:p>
    <w:p w14:paraId="7F6A1690">
      <w:pPr>
        <w:pStyle w:val="11"/>
        <w:widowControl/>
        <w:numPr>
          <w:ilvl w:val="0"/>
          <w:numId w:val="0"/>
        </w:numPr>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1.大一大二学年以早操早卡计算出勤率，大三大四学年以满勤计算；（4分）</w:t>
      </w:r>
    </w:p>
    <w:p w14:paraId="735332F3">
      <w:pPr>
        <w:pStyle w:val="11"/>
        <w:numPr>
          <w:ilvl w:val="0"/>
          <w:numId w:val="0"/>
        </w:numPr>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（1）出勤率=（学期实盖章数/学期应盖章数）×100%；</w:t>
      </w:r>
    </w:p>
    <w:p w14:paraId="6B724A2B">
      <w:pPr>
        <w:pStyle w:val="11"/>
        <w:numPr>
          <w:ilvl w:val="0"/>
          <w:numId w:val="0"/>
        </w:numPr>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（2）出勤率在90％以上（含90%）按满勤计算；出勤率在90％以下者（含60%）按1.6×出勤率计算；</w:t>
      </w:r>
    </w:p>
    <w:p w14:paraId="04D5389D">
      <w:pPr>
        <w:pStyle w:val="11"/>
        <w:numPr>
          <w:ilvl w:val="0"/>
          <w:numId w:val="0"/>
        </w:numPr>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2.参加春训、冬训等校级体育赛事训练，全勤者每人计3分，出勤率达90%及以上者每人计2分，其余不计分。（6分）</w:t>
      </w:r>
    </w:p>
    <w:p w14:paraId="4497C359">
      <w:pPr>
        <w:pStyle w:val="11"/>
        <w:numPr>
          <w:ilvl w:val="0"/>
          <w:numId w:val="0"/>
        </w:numPr>
        <w:ind w:firstLine="560" w:firstLineChars="200"/>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3.学生选修《塑身瑜珈》《太极拳》《气排球》《篮球文化解析与赛事鉴赏》《篮球规则与裁判法》等体育类选修课程，考核合格的，每门次加1分；</w:t>
      </w:r>
    </w:p>
    <w:p w14:paraId="6B9D5EC2">
      <w:pPr>
        <w:pStyle w:val="16"/>
        <w:numPr>
          <w:ilvl w:val="0"/>
          <w:numId w:val="1"/>
        </w:numPr>
      </w:pPr>
      <w:r>
        <w:rPr>
          <w:highlight w:val="none"/>
        </w:rPr>
        <w:t>美育素质测评标准</w:t>
      </w:r>
      <w:r>
        <w:t xml:space="preserve"> </w:t>
      </w:r>
    </w:p>
    <w:p w14:paraId="5BF69622">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 xml:space="preserve">美育素质测能力测评模块突出大学生艺术实践与审美，强化审美教育、情操教育、心灵教育，提升大学生审美和人文素养，以及感受美、表现美、鉴赏美、创造美的能力。 </w:t>
      </w:r>
    </w:p>
    <w:p w14:paraId="4E657B60">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美育素质能力测评内容主要包括学生对美的感知能力、鉴赏能力、表现能力和创造能力，以及参与文化艺术活动、文艺创作、文艺比赛及成果等方面的表现。美育素质能力测评采用百分制，测评成绩M包括美育基础性评价得分M1和美育成果性评价得分M2两部分。该项总分不超过100分，累计得分超过100分的按100分计。</w:t>
      </w:r>
    </w:p>
    <w:p w14:paraId="0CFF0D84">
      <w:pPr>
        <w:pStyle w:val="11"/>
        <w:widowControl/>
        <w:numPr>
          <w:ilvl w:val="0"/>
          <w:numId w:val="2"/>
        </w:numPr>
        <w:ind w:left="0" w:leftChars="0" w:firstLine="482" w:firstLineChars="0"/>
        <w:rPr>
          <w:rFonts w:ascii="Times New Roman" w:hAnsi="Times New Roman" w:eastAsia="宋体" w:cs="Times New Roman"/>
          <w:b/>
          <w:color w:val="000000"/>
          <w:sz w:val="24"/>
          <w:szCs w:val="24"/>
        </w:rPr>
      </w:pPr>
      <w:r>
        <w:rPr>
          <w:rFonts w:hint="eastAsia" w:ascii="仿宋" w:hAnsi="仿宋" w:eastAsia="仿宋" w:cs="Times New Roman"/>
          <w:color w:val="auto"/>
          <w:kern w:val="2"/>
          <w:sz w:val="28"/>
          <w:szCs w:val="28"/>
          <w:highlight w:val="none"/>
          <w:shd w:val="clear" w:color="auto" w:fill="auto"/>
          <w:lang w:val="en-US" w:eastAsia="zh-CN" w:bidi="ar-SA"/>
        </w:rPr>
        <w:t>美育基础性评价总分为60分，该项由所在班级团支部依据学生日常行为进行综合评价赋分。</w:t>
      </w:r>
    </w:p>
    <w:p w14:paraId="67C80EAE">
      <w:pPr>
        <w:pStyle w:val="11"/>
        <w:widowControl/>
        <w:numPr>
          <w:ilvl w:val="0"/>
          <w:numId w:val="23"/>
        </w:numPr>
        <w:topLinePunct w:val="0"/>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积极践行社会主义核心价值观，大力弘扬中华优秀传统文化，继承革命文化，发展社会主义先进文化；</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20分</w:t>
      </w:r>
      <w:r>
        <w:rPr>
          <w:rFonts w:hint="eastAsia" w:ascii="仿宋" w:hAnsi="仿宋" w:eastAsia="仿宋" w:cs="仿宋"/>
          <w:color w:val="000000"/>
          <w:sz w:val="28"/>
          <w:szCs w:val="28"/>
          <w:lang w:eastAsia="zh-CN"/>
        </w:rPr>
        <w:t>）</w:t>
      </w:r>
    </w:p>
    <w:p w14:paraId="63B61933">
      <w:pPr>
        <w:pStyle w:val="11"/>
        <w:widowControl/>
        <w:numPr>
          <w:ilvl w:val="0"/>
          <w:numId w:val="23"/>
        </w:numPr>
        <w:topLinePunct w:val="0"/>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具有一定的热爱美、向往美、追求美的积极态度和认识美、感受美、欣赏美和创造美的能力；</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20分</w:t>
      </w:r>
      <w:r>
        <w:rPr>
          <w:rFonts w:hint="eastAsia" w:ascii="仿宋" w:hAnsi="仿宋" w:eastAsia="仿宋" w:cs="仿宋"/>
          <w:color w:val="000000"/>
          <w:sz w:val="28"/>
          <w:szCs w:val="28"/>
          <w:lang w:eastAsia="zh-CN"/>
        </w:rPr>
        <w:t>）</w:t>
      </w:r>
    </w:p>
    <w:p w14:paraId="57FA521E">
      <w:pPr>
        <w:pStyle w:val="11"/>
        <w:widowControl/>
        <w:numPr>
          <w:ilvl w:val="0"/>
          <w:numId w:val="23"/>
        </w:numPr>
        <w:topLinePunct w:val="0"/>
        <w:ind w:left="0" w:leftChars="0" w:firstLine="480" w:firstLineChars="0"/>
        <w:rPr>
          <w:rFonts w:hint="eastAsia" w:ascii="仿宋" w:hAnsi="仿宋" w:eastAsia="仿宋" w:cs="仿宋"/>
          <w:b w:val="0"/>
          <w:color w:val="000000"/>
          <w:sz w:val="28"/>
          <w:szCs w:val="28"/>
        </w:rPr>
      </w:pPr>
      <w:r>
        <w:rPr>
          <w:rFonts w:hint="eastAsia" w:ascii="仿宋" w:hAnsi="仿宋" w:eastAsia="仿宋" w:cs="仿宋"/>
          <w:color w:val="000000"/>
          <w:sz w:val="28"/>
          <w:szCs w:val="28"/>
        </w:rPr>
        <w:t>具有正确的、恰当的审美观念、健康的审美情趣（服装美、行为美、语言美、心灵美等）。</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20分</w:t>
      </w:r>
      <w:r>
        <w:rPr>
          <w:rFonts w:hint="eastAsia" w:ascii="仿宋" w:hAnsi="仿宋" w:eastAsia="仿宋" w:cs="仿宋"/>
          <w:color w:val="000000"/>
          <w:sz w:val="28"/>
          <w:szCs w:val="28"/>
          <w:lang w:eastAsia="zh-CN"/>
        </w:rPr>
        <w:t>）</w:t>
      </w:r>
    </w:p>
    <w:p w14:paraId="4C60D807">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美育成果性评价总分原则上为40分，累计得分超过40分的以40分计。测评内容主要包括艺术竞赛与成果、艺术实践与素养、选修课程学习等部分。</w:t>
      </w:r>
    </w:p>
    <w:p w14:paraId="3D5318D5">
      <w:pPr>
        <w:pStyle w:val="11"/>
        <w:widowControl/>
        <w:numPr>
          <w:ilvl w:val="0"/>
          <w:numId w:val="24"/>
        </w:numPr>
        <w:topLinePunct w:val="0"/>
        <w:ind w:left="0" w:leftChars="0" w:firstLine="480" w:firstLineChars="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艺术实践与素养</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25分</w:t>
      </w:r>
      <w:r>
        <w:rPr>
          <w:rFonts w:hint="eastAsia" w:ascii="仿宋" w:hAnsi="仿宋" w:eastAsia="仿宋" w:cs="仿宋"/>
          <w:b/>
          <w:bCs/>
          <w:color w:val="000000"/>
          <w:sz w:val="28"/>
          <w:szCs w:val="28"/>
          <w:lang w:eastAsia="zh-CN"/>
        </w:rPr>
        <w:t>）</w:t>
      </w:r>
    </w:p>
    <w:p w14:paraId="4B56F09F">
      <w:pPr>
        <w:pStyle w:val="11"/>
        <w:widowControl/>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1.加入校级大学生艺术团或高水平艺术类社团、学院各类文化艺术队，完成日常训练，并持续参加排练和演出，每人计1分（可累计）；（5分）</w:t>
      </w:r>
    </w:p>
    <w:p w14:paraId="2C3F9997">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2.参加学校、学院举办的各类校园文化活动；（7分）</w:t>
      </w:r>
    </w:p>
    <w:p w14:paraId="5749B520">
      <w:pPr>
        <w:pStyle w:val="11"/>
        <w:widowControl/>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参加舞蹈大赛、话剧比赛、合唱比赛等校园之春、金秋科技校级大型文艺活动，团体比赛参演、参训者出勤率95%及以上者，每人每次计1.5分，90%—95%者，每人每次计0.8分，其余不计分。个人或组队比赛每人每次加0.5分；（5分）</w:t>
      </w:r>
    </w:p>
    <w:p w14:paraId="37B2FD6D">
      <w:pPr>
        <w:pStyle w:val="11"/>
        <w:widowControl/>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w:t>
      </w:r>
      <w:r>
        <w:rPr>
          <w:rFonts w:hint="eastAsia" w:ascii="仿宋" w:hAnsi="仿宋" w:eastAsia="仿宋"/>
          <w:color w:val="auto"/>
          <w:sz w:val="28"/>
          <w:szCs w:val="28"/>
          <w:highlight w:val="none"/>
          <w:shd w:val="clear" w:color="auto" w:fill="auto"/>
        </w:rPr>
        <w:t>参加校、院</w:t>
      </w:r>
      <w:r>
        <w:rPr>
          <w:rFonts w:hint="eastAsia" w:ascii="仿宋" w:hAnsi="仿宋" w:eastAsia="仿宋"/>
          <w:color w:val="auto"/>
          <w:sz w:val="28"/>
          <w:szCs w:val="28"/>
          <w:highlight w:val="none"/>
          <w:shd w:val="clear" w:color="auto" w:fill="auto"/>
          <w:lang w:eastAsia="zh"/>
          <w:woUserID w:val="1"/>
        </w:rPr>
        <w:t>其他</w:t>
      </w:r>
      <w:r>
        <w:rPr>
          <w:rFonts w:hint="eastAsia" w:ascii="仿宋" w:hAnsi="仿宋" w:eastAsia="仿宋"/>
          <w:color w:val="auto"/>
          <w:sz w:val="28"/>
          <w:szCs w:val="28"/>
          <w:highlight w:val="none"/>
          <w:shd w:val="clear" w:color="auto" w:fill="auto"/>
        </w:rPr>
        <w:t>集体活动</w:t>
      </w:r>
      <w:r>
        <w:rPr>
          <w:rFonts w:hint="eastAsia" w:ascii="仿宋" w:hAnsi="仿宋" w:eastAsia="仿宋"/>
          <w:color w:val="auto"/>
          <w:sz w:val="28"/>
          <w:szCs w:val="28"/>
          <w:highlight w:val="none"/>
          <w:shd w:val="clear" w:color="auto" w:fill="auto"/>
          <w:lang w:eastAsia="zh"/>
          <w:woUserID w:val="1"/>
        </w:rPr>
        <w:t>，例如作为线上</w:t>
      </w:r>
      <w:r>
        <w:rPr>
          <w:rFonts w:hint="eastAsia" w:ascii="仿宋" w:hAnsi="仿宋" w:eastAsia="仿宋"/>
          <w:color w:val="auto"/>
          <w:sz w:val="28"/>
          <w:szCs w:val="28"/>
          <w:highlight w:val="none"/>
          <w:shd w:val="clear" w:color="auto" w:fill="auto"/>
        </w:rPr>
        <w:t>观众</w:t>
      </w:r>
      <w:r>
        <w:rPr>
          <w:rFonts w:hint="eastAsia" w:ascii="仿宋" w:hAnsi="仿宋" w:eastAsia="仿宋"/>
          <w:color w:val="auto"/>
          <w:sz w:val="28"/>
          <w:szCs w:val="28"/>
          <w:highlight w:val="none"/>
          <w:shd w:val="clear" w:color="auto" w:fill="auto"/>
          <w:lang w:eastAsia="zh"/>
          <w:woUserID w:val="1"/>
        </w:rPr>
        <w:t>、参与线上答题、送祝福等，每人</w:t>
      </w:r>
      <w:r>
        <w:rPr>
          <w:rFonts w:hint="eastAsia" w:ascii="仿宋" w:hAnsi="仿宋" w:eastAsia="仿宋"/>
          <w:color w:val="auto"/>
          <w:sz w:val="28"/>
          <w:szCs w:val="28"/>
          <w:highlight w:val="none"/>
          <w:shd w:val="clear" w:color="auto" w:fill="auto"/>
        </w:rPr>
        <w:t>每次</w:t>
      </w:r>
      <w:r>
        <w:rPr>
          <w:rFonts w:hint="eastAsia" w:ascii="仿宋" w:hAnsi="仿宋" w:eastAsia="仿宋"/>
          <w:color w:val="auto"/>
          <w:sz w:val="28"/>
          <w:szCs w:val="28"/>
          <w:highlight w:val="none"/>
          <w:shd w:val="clear" w:color="auto" w:fill="auto"/>
          <w:lang w:eastAsia="zh"/>
          <w:woUserID w:val="1"/>
        </w:rPr>
        <w:t>可</w:t>
      </w:r>
      <w:r>
        <w:rPr>
          <w:rFonts w:hint="eastAsia" w:ascii="仿宋" w:hAnsi="仿宋" w:eastAsia="仿宋"/>
          <w:color w:val="auto"/>
          <w:sz w:val="28"/>
          <w:szCs w:val="28"/>
          <w:highlight w:val="none"/>
          <w:shd w:val="clear" w:color="auto" w:fill="auto"/>
        </w:rPr>
        <w:t>加0</w:t>
      </w:r>
      <w:r>
        <w:rPr>
          <w:rFonts w:ascii="仿宋" w:hAnsi="仿宋" w:eastAsia="仿宋"/>
          <w:color w:val="auto"/>
          <w:sz w:val="28"/>
          <w:szCs w:val="28"/>
          <w:highlight w:val="none"/>
          <w:shd w:val="clear" w:color="auto" w:fill="auto"/>
        </w:rPr>
        <w:t>.</w:t>
      </w:r>
      <w:r>
        <w:rPr>
          <w:rFonts w:hint="eastAsia" w:ascii="仿宋" w:hAnsi="仿宋" w:eastAsia="仿宋"/>
          <w:color w:val="auto"/>
          <w:sz w:val="28"/>
          <w:szCs w:val="28"/>
          <w:highlight w:val="none"/>
          <w:shd w:val="clear" w:color="auto" w:fill="auto"/>
          <w:lang w:val="en-US" w:eastAsia="zh-CN"/>
        </w:rPr>
        <w:t>1</w:t>
      </w:r>
      <w:r>
        <w:rPr>
          <w:rFonts w:ascii="仿宋" w:hAnsi="仿宋" w:eastAsia="仿宋"/>
          <w:color w:val="auto"/>
          <w:sz w:val="28"/>
          <w:szCs w:val="28"/>
          <w:highlight w:val="none"/>
          <w:shd w:val="clear" w:color="auto" w:fill="auto"/>
        </w:rPr>
        <w:t>分</w:t>
      </w:r>
      <w:r>
        <w:rPr>
          <w:rFonts w:hint="eastAsia" w:ascii="仿宋" w:hAnsi="仿宋" w:eastAsia="仿宋"/>
          <w:color w:val="auto"/>
          <w:sz w:val="28"/>
          <w:szCs w:val="28"/>
          <w:highlight w:val="none"/>
          <w:shd w:val="clear" w:color="auto" w:fill="auto"/>
          <w:lang w:eastAsia="zh"/>
          <w:woUserID w:val="1"/>
        </w:rPr>
        <w:t>；线下观众，两小时以内按线上观众来算，超过两小时的线下观众每人每次可加0.</w:t>
      </w:r>
      <w:r>
        <w:rPr>
          <w:rFonts w:hint="eastAsia" w:ascii="仿宋" w:hAnsi="仿宋" w:eastAsia="仿宋"/>
          <w:color w:val="auto"/>
          <w:sz w:val="28"/>
          <w:szCs w:val="28"/>
          <w:highlight w:val="none"/>
          <w:shd w:val="clear" w:color="auto" w:fill="auto"/>
          <w:lang w:val="en-US" w:eastAsia="zh-CN"/>
          <w:woUserID w:val="1"/>
        </w:rPr>
        <w:t>2</w:t>
      </w:r>
      <w:r>
        <w:rPr>
          <w:rFonts w:hint="eastAsia" w:ascii="仿宋" w:hAnsi="仿宋" w:eastAsia="仿宋"/>
          <w:color w:val="auto"/>
          <w:sz w:val="28"/>
          <w:szCs w:val="28"/>
          <w:highlight w:val="none"/>
          <w:shd w:val="clear" w:color="auto" w:fill="auto"/>
          <w:lang w:eastAsia="zh"/>
          <w:woUserID w:val="1"/>
        </w:rPr>
        <w:t>分，例如团课等</w:t>
      </w:r>
      <w:r>
        <w:rPr>
          <w:rFonts w:hint="eastAsia" w:ascii="仿宋" w:hAnsi="仿宋" w:eastAsia="仿宋"/>
          <w:color w:val="auto"/>
          <w:sz w:val="28"/>
          <w:szCs w:val="28"/>
          <w:highlight w:val="none"/>
          <w:shd w:val="clear" w:color="auto" w:fill="auto"/>
          <w:lang w:eastAsia="zh-CN"/>
          <w:woUserID w:val="1"/>
        </w:rPr>
        <w:t>。</w:t>
      </w:r>
    </w:p>
    <w:p w14:paraId="36C90167">
      <w:pPr>
        <w:pStyle w:val="11"/>
        <w:numPr>
          <w:ilvl w:val="0"/>
          <w:numId w:val="0"/>
        </w:numPr>
        <w:topLinePunct w:val="0"/>
        <w:ind w:left="0" w:leftChars="0" w:firstLine="480" w:firstLineChars="0"/>
        <w:rPr>
          <w:rFonts w:hint="eastAsia" w:ascii="宋体" w:hAnsi="宋体" w:eastAsia="宋体" w:cs="宋体"/>
          <w:b w:val="0"/>
          <w:color w:val="auto"/>
          <w:sz w:val="24"/>
          <w:szCs w:val="24"/>
          <w:highlight w:val="none"/>
        </w:rPr>
      </w:pPr>
      <w:r>
        <w:rPr>
          <w:rFonts w:hint="eastAsia" w:ascii="仿宋" w:hAnsi="仿宋" w:eastAsia="仿宋" w:cs="Times New Roman"/>
          <w:color w:val="auto"/>
          <w:kern w:val="2"/>
          <w:sz w:val="28"/>
          <w:szCs w:val="28"/>
          <w:highlight w:val="none"/>
          <w:shd w:val="clear" w:color="auto" w:fill="auto"/>
          <w:lang w:val="en-US" w:eastAsia="zh-CN" w:bidi="ar-SA"/>
        </w:rPr>
        <w:t>3.积极参加学校、学院开展的各类群众性的班级、团支部的美育主题实践或文艺活动，参加迎新晚会、元旦晚会等各级各类校园文化活动，经学院认定，每次0.4分；（6分）</w:t>
      </w:r>
    </w:p>
    <w:p w14:paraId="17580F0D">
      <w:pPr>
        <w:pStyle w:val="11"/>
        <w:numPr>
          <w:ilvl w:val="0"/>
          <w:numId w:val="0"/>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（1）参加院级朗诵比赛、演讲比赛、合唱比赛等文艺活动，每人每次加0.3分；（3分）</w:t>
      </w:r>
    </w:p>
    <w:p w14:paraId="6D34CA60">
      <w:pPr>
        <w:pStyle w:val="11"/>
        <w:numPr>
          <w:ilvl w:val="0"/>
          <w:numId w:val="0"/>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（2）参加校级朗诵比赛、演讲比赛、合唱比赛等文艺活动，每人每次加0.5分；（3分）</w:t>
      </w:r>
    </w:p>
    <w:p w14:paraId="74E815BD">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 xml:space="preserve">4.代表学校各类组织赴校外参加各类演出，经学院认定，每次计0.5分；（4分） </w:t>
      </w:r>
    </w:p>
    <w:p w14:paraId="57D2A1ED">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5.获得社会认可的艺术水平等级证书。（3分）</w:t>
      </w:r>
    </w:p>
    <w:p w14:paraId="45377D5E">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仿宋"/>
          <w:color w:val="auto"/>
          <w:sz w:val="28"/>
          <w:szCs w:val="28"/>
          <w:highlight w:val="none"/>
        </w:rPr>
        <w:t>本年度</w:t>
      </w:r>
      <w:r>
        <w:rPr>
          <w:rFonts w:hint="eastAsia" w:ascii="仿宋" w:hAnsi="仿宋" w:eastAsia="仿宋" w:cs="Times New Roman"/>
          <w:color w:val="auto"/>
          <w:kern w:val="2"/>
          <w:sz w:val="28"/>
          <w:szCs w:val="28"/>
          <w:highlight w:val="none"/>
          <w:shd w:val="clear" w:color="auto" w:fill="auto"/>
          <w:lang w:val="en-US" w:eastAsia="zh-CN" w:bidi="ar-SA"/>
        </w:rPr>
        <w:t>各级各类艺术水平等级</w:t>
      </w:r>
      <w:r>
        <w:rPr>
          <w:rFonts w:hint="eastAsia" w:ascii="仿宋" w:hAnsi="仿宋" w:eastAsia="仿宋" w:cs="仿宋"/>
          <w:color w:val="auto"/>
          <w:sz w:val="28"/>
          <w:szCs w:val="28"/>
          <w:highlight w:val="none"/>
        </w:rPr>
        <w:t>证书的每证加0.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如钢琴级别、声乐级别证等，可累计得分。</w:t>
      </w:r>
    </w:p>
    <w:p w14:paraId="301D27B8">
      <w:pPr>
        <w:pStyle w:val="11"/>
        <w:widowControl/>
        <w:numPr>
          <w:ilvl w:val="0"/>
          <w:numId w:val="24"/>
        </w:numPr>
        <w:topLinePunct w:val="0"/>
        <w:ind w:left="0" w:leftChars="0" w:firstLine="480" w:firstLineChars="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艺术竞赛与成果</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15分</w:t>
      </w:r>
      <w:r>
        <w:rPr>
          <w:rFonts w:hint="eastAsia" w:ascii="仿宋" w:hAnsi="仿宋" w:eastAsia="仿宋" w:cs="仿宋"/>
          <w:b/>
          <w:bCs/>
          <w:color w:val="000000"/>
          <w:sz w:val="28"/>
          <w:szCs w:val="28"/>
          <w:lang w:eastAsia="zh-CN"/>
        </w:rPr>
        <w:t>）</w:t>
      </w:r>
    </w:p>
    <w:p w14:paraId="157EB32A">
      <w:pPr>
        <w:keepNext w:val="0"/>
        <w:keepLines w:val="0"/>
        <w:widowControl/>
        <w:numPr>
          <w:ilvl w:val="0"/>
          <w:numId w:val="0"/>
        </w:numPr>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1.在各级艺术、文化类竞赛（如歌唱、舞蹈、朗诵、书画、话剧、篆刻等）中获奖，可累计加分；（7分）</w:t>
      </w:r>
    </w:p>
    <w:p w14:paraId="6CEE138E">
      <w:pPr>
        <w:pStyle w:val="11"/>
        <w:numPr>
          <w:ilvl w:val="0"/>
          <w:numId w:val="25"/>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参加校级以上（含校级）文艺活动：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1563"/>
        <w:gridCol w:w="1672"/>
        <w:gridCol w:w="1843"/>
        <w:gridCol w:w="2014"/>
      </w:tblGrid>
      <w:tr w14:paraId="1C02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top"/>
          </w:tcPr>
          <w:p w14:paraId="5321AFEE">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p>
        </w:tc>
        <w:tc>
          <w:tcPr>
            <w:tcW w:w="1563" w:type="dxa"/>
            <w:vAlign w:val="top"/>
          </w:tcPr>
          <w:p w14:paraId="6B5EAB77">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第一名</w:t>
            </w:r>
          </w:p>
        </w:tc>
        <w:tc>
          <w:tcPr>
            <w:tcW w:w="1672" w:type="dxa"/>
            <w:vAlign w:val="top"/>
          </w:tcPr>
          <w:p w14:paraId="4B713860">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第二名</w:t>
            </w:r>
          </w:p>
        </w:tc>
        <w:tc>
          <w:tcPr>
            <w:tcW w:w="1843" w:type="dxa"/>
            <w:vAlign w:val="top"/>
          </w:tcPr>
          <w:p w14:paraId="4D825652">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第三名</w:t>
            </w:r>
          </w:p>
        </w:tc>
        <w:tc>
          <w:tcPr>
            <w:tcW w:w="2014" w:type="dxa"/>
            <w:vAlign w:val="top"/>
          </w:tcPr>
          <w:p w14:paraId="3F33A213">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其他</w:t>
            </w:r>
          </w:p>
        </w:tc>
      </w:tr>
      <w:tr w14:paraId="495A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top"/>
          </w:tcPr>
          <w:p w14:paraId="7D426E84">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国家级</w:t>
            </w:r>
          </w:p>
        </w:tc>
        <w:tc>
          <w:tcPr>
            <w:tcW w:w="1563" w:type="dxa"/>
            <w:vAlign w:val="top"/>
          </w:tcPr>
          <w:p w14:paraId="09F9D075">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5</w:t>
            </w:r>
          </w:p>
        </w:tc>
        <w:tc>
          <w:tcPr>
            <w:tcW w:w="1672" w:type="dxa"/>
            <w:vAlign w:val="top"/>
          </w:tcPr>
          <w:p w14:paraId="1EAD6139">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4.5</w:t>
            </w:r>
          </w:p>
        </w:tc>
        <w:tc>
          <w:tcPr>
            <w:tcW w:w="1843" w:type="dxa"/>
            <w:vAlign w:val="top"/>
          </w:tcPr>
          <w:p w14:paraId="64593758">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4</w:t>
            </w:r>
          </w:p>
        </w:tc>
        <w:tc>
          <w:tcPr>
            <w:tcW w:w="2014" w:type="dxa"/>
            <w:vAlign w:val="top"/>
          </w:tcPr>
          <w:p w14:paraId="1F364B71">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r w14:paraId="548F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top"/>
          </w:tcPr>
          <w:p w14:paraId="384F1450">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省级</w:t>
            </w:r>
          </w:p>
        </w:tc>
        <w:tc>
          <w:tcPr>
            <w:tcW w:w="1563" w:type="dxa"/>
            <w:vAlign w:val="top"/>
          </w:tcPr>
          <w:p w14:paraId="11C693AF">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3.5</w:t>
            </w:r>
          </w:p>
        </w:tc>
        <w:tc>
          <w:tcPr>
            <w:tcW w:w="1672" w:type="dxa"/>
            <w:vAlign w:val="top"/>
          </w:tcPr>
          <w:p w14:paraId="75988D77">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3.2</w:t>
            </w:r>
          </w:p>
        </w:tc>
        <w:tc>
          <w:tcPr>
            <w:tcW w:w="1843" w:type="dxa"/>
            <w:vAlign w:val="top"/>
          </w:tcPr>
          <w:p w14:paraId="2704A37F">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2.9</w:t>
            </w:r>
          </w:p>
        </w:tc>
        <w:tc>
          <w:tcPr>
            <w:tcW w:w="2014" w:type="dxa"/>
            <w:vAlign w:val="top"/>
          </w:tcPr>
          <w:p w14:paraId="652081DB">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r w14:paraId="1A12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 w:type="dxa"/>
            <w:vAlign w:val="top"/>
          </w:tcPr>
          <w:p w14:paraId="775C30CA">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eastAsia="zh-CN"/>
              </w:rPr>
            </w:pPr>
            <w:r>
              <w:rPr>
                <w:rFonts w:hint="eastAsia" w:ascii="仿宋" w:hAnsi="仿宋" w:eastAsia="仿宋" w:cs="仿宋"/>
                <w:color w:val="auto"/>
                <w:sz w:val="28"/>
                <w:szCs w:val="28"/>
                <w:shd w:val="clear" w:color="auto" w:fill="auto"/>
                <w:vertAlign w:val="baseline"/>
                <w:lang w:eastAsia="zh-CN"/>
              </w:rPr>
              <w:t>校级</w:t>
            </w:r>
          </w:p>
        </w:tc>
        <w:tc>
          <w:tcPr>
            <w:tcW w:w="1563" w:type="dxa"/>
            <w:vAlign w:val="top"/>
          </w:tcPr>
          <w:p w14:paraId="24FCFCD1">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2.5</w:t>
            </w:r>
          </w:p>
        </w:tc>
        <w:tc>
          <w:tcPr>
            <w:tcW w:w="1672" w:type="dxa"/>
            <w:vAlign w:val="top"/>
          </w:tcPr>
          <w:p w14:paraId="61D10DAE">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2.2</w:t>
            </w:r>
          </w:p>
        </w:tc>
        <w:tc>
          <w:tcPr>
            <w:tcW w:w="1843" w:type="dxa"/>
            <w:vAlign w:val="top"/>
          </w:tcPr>
          <w:p w14:paraId="1DB9A03F">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lang w:val="en-US" w:eastAsia="zh-CN"/>
              </w:rPr>
            </w:pPr>
            <w:r>
              <w:rPr>
                <w:rFonts w:hint="eastAsia" w:ascii="仿宋" w:hAnsi="仿宋" w:eastAsia="仿宋" w:cs="仿宋"/>
                <w:color w:val="auto"/>
                <w:sz w:val="28"/>
                <w:szCs w:val="28"/>
                <w:shd w:val="clear" w:color="auto" w:fill="auto"/>
                <w:vertAlign w:val="baseline"/>
                <w:lang w:val="en-US" w:eastAsia="zh-CN"/>
              </w:rPr>
              <w:t>2</w:t>
            </w:r>
          </w:p>
        </w:tc>
        <w:tc>
          <w:tcPr>
            <w:tcW w:w="2014" w:type="dxa"/>
            <w:vAlign w:val="top"/>
          </w:tcPr>
          <w:p w14:paraId="6700BBE7">
            <w:pPr>
              <w:pStyle w:val="12"/>
              <w:keepNext w:val="0"/>
              <w:keepLines w:val="0"/>
              <w:pageBreakBefore w:val="0"/>
              <w:numPr>
                <w:ilvl w:val="0"/>
                <w:numId w:val="0"/>
              </w:numPr>
              <w:kinsoku/>
              <w:wordWrap/>
              <w:overflowPunct/>
              <w:topLinePunct w:val="0"/>
              <w:bidi w:val="0"/>
              <w:snapToGrid/>
              <w:spacing w:line="360" w:lineRule="auto"/>
              <w:ind w:left="0" w:leftChars="0" w:firstLine="0" w:firstLineChars="0"/>
              <w:jc w:val="center"/>
              <w:textAlignment w:val="auto"/>
              <w:rPr>
                <w:rFonts w:hint="eastAsia" w:ascii="仿宋" w:hAnsi="仿宋" w:eastAsia="仿宋" w:cs="仿宋"/>
                <w:color w:val="auto"/>
                <w:sz w:val="28"/>
                <w:szCs w:val="28"/>
                <w:highlight w:val="none"/>
                <w:shd w:val="clear" w:color="auto" w:fill="auto"/>
                <w:vertAlign w:val="baseline"/>
              </w:rPr>
            </w:pPr>
            <w:r>
              <w:rPr>
                <w:rFonts w:hint="eastAsia" w:ascii="仿宋" w:hAnsi="仿宋" w:eastAsia="仿宋" w:cs="仿宋"/>
                <w:color w:val="auto"/>
                <w:sz w:val="28"/>
                <w:szCs w:val="28"/>
                <w:shd w:val="clear" w:color="auto" w:fill="auto"/>
                <w:vertAlign w:val="baseline"/>
                <w:lang w:eastAsia="zh-CN"/>
              </w:rPr>
              <w:t>依次递减</w:t>
            </w:r>
            <w:r>
              <w:rPr>
                <w:rFonts w:hint="eastAsia" w:ascii="仿宋" w:hAnsi="仿宋" w:eastAsia="仿宋" w:cs="仿宋"/>
                <w:color w:val="auto"/>
                <w:sz w:val="28"/>
                <w:szCs w:val="28"/>
                <w:shd w:val="clear" w:color="auto" w:fill="auto"/>
                <w:vertAlign w:val="baseline"/>
                <w:lang w:val="en-US" w:eastAsia="zh-CN"/>
              </w:rPr>
              <w:t>0.3</w:t>
            </w:r>
          </w:p>
        </w:tc>
      </w:tr>
    </w:tbl>
    <w:p w14:paraId="704F9166">
      <w:pPr>
        <w:pStyle w:val="11"/>
        <w:numPr>
          <w:ilvl w:val="0"/>
          <w:numId w:val="25"/>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参加本院举办的大型文艺比赛，个人或团体获得一等奖、二等奖、三等奖者，每人每次分别计1.2分、1分、0.6分，其余不计分。</w:t>
      </w:r>
    </w:p>
    <w:p w14:paraId="07554509">
      <w:pPr>
        <w:pStyle w:val="11"/>
        <w:numPr>
          <w:ilvl w:val="0"/>
          <w:numId w:val="25"/>
        </w:numPr>
        <w:topLinePunct w:val="0"/>
        <w:ind w:left="0" w:leftChars="0" w:firstLine="480"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学院文艺队伍在校级以上（含校级）比赛中获得第一名时参赛队员加2.5分，队伍在比赛中获得第二名时参赛队员加2.2分，第三名加2分，增加一个名次递减0.15分，至第八名止（以获奖证书或通报表扬文件为认证依据）；</w:t>
      </w:r>
    </w:p>
    <w:p w14:paraId="3425044F">
      <w:pPr>
        <w:keepNext w:val="0"/>
        <w:keepLines w:val="0"/>
        <w:widowControl/>
        <w:numPr>
          <w:ilvl w:val="0"/>
          <w:numId w:val="0"/>
        </w:numPr>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2.在校级及以上刊物或平台发表原创文学、艺术作品；（4分）</w:t>
      </w:r>
    </w:p>
    <w:p w14:paraId="76D9E3B4">
      <w:pPr>
        <w:keepNext w:val="0"/>
        <w:keepLines w:val="0"/>
        <w:widowControl/>
        <w:numPr>
          <w:ilvl w:val="0"/>
          <w:numId w:val="0"/>
        </w:numPr>
        <w:suppressLineNumbers w:val="0"/>
        <w:ind w:firstLine="56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w:t>
      </w:r>
      <w:r>
        <w:rPr>
          <w:rFonts w:hint="eastAsia" w:ascii="仿宋" w:hAnsi="仿宋" w:eastAsia="仿宋" w:cs="仿宋"/>
          <w:color w:val="auto"/>
          <w:sz w:val="28"/>
          <w:szCs w:val="28"/>
          <w:highlight w:val="none"/>
        </w:rPr>
        <w:t>在各类官方媒体、主流网站、校级以上报刊、经学校认定的微信公众号等平台发表</w:t>
      </w:r>
      <w:r>
        <w:rPr>
          <w:rFonts w:hint="eastAsia" w:ascii="仿宋" w:hAnsi="仿宋" w:eastAsia="仿宋" w:cs="Times New Roman"/>
          <w:color w:val="auto"/>
          <w:kern w:val="2"/>
          <w:sz w:val="28"/>
          <w:szCs w:val="28"/>
          <w:highlight w:val="none"/>
          <w:shd w:val="clear" w:color="auto" w:fill="auto"/>
          <w:lang w:val="en-US" w:eastAsia="zh-CN" w:bidi="ar-SA"/>
        </w:rPr>
        <w:t>原创文学、艺术作品，第一作者加2.5分，第二作者加2分，第三作者加1.5分，其余作者不得分。</w:t>
      </w:r>
    </w:p>
    <w:p w14:paraId="1CEBB0D1">
      <w:pPr>
        <w:keepNext w:val="0"/>
        <w:keepLines w:val="0"/>
        <w:widowControl/>
        <w:numPr>
          <w:ilvl w:val="0"/>
          <w:numId w:val="0"/>
        </w:numPr>
        <w:suppressLineNumbers w:val="0"/>
        <w:ind w:firstLine="560" w:firstLineChars="200"/>
        <w:jc w:val="left"/>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（2）在校级刊物平台</w:t>
      </w:r>
      <w:r>
        <w:rPr>
          <w:rFonts w:hint="eastAsia" w:ascii="仿宋" w:hAnsi="仿宋" w:eastAsia="仿宋" w:cs="仿宋"/>
          <w:color w:val="auto"/>
          <w:sz w:val="28"/>
          <w:szCs w:val="28"/>
          <w:highlight w:val="none"/>
        </w:rPr>
        <w:t>发表</w:t>
      </w:r>
      <w:r>
        <w:rPr>
          <w:rFonts w:hint="eastAsia" w:ascii="仿宋" w:hAnsi="仿宋" w:eastAsia="仿宋" w:cs="Times New Roman"/>
          <w:color w:val="auto"/>
          <w:kern w:val="2"/>
          <w:sz w:val="28"/>
          <w:szCs w:val="28"/>
          <w:highlight w:val="none"/>
          <w:shd w:val="clear" w:color="auto" w:fill="auto"/>
          <w:lang w:val="en-US" w:eastAsia="zh-CN" w:bidi="ar-SA"/>
        </w:rPr>
        <w:t>原创文学、艺术作品，第一作者加1.5分，第二作者加1.2分，第三作者加1分，其余作者不得分。</w:t>
      </w:r>
    </w:p>
    <w:p w14:paraId="01D735E9">
      <w:pPr>
        <w:keepNext w:val="0"/>
        <w:keepLines w:val="0"/>
        <w:widowControl/>
        <w:suppressLineNumbers w:val="0"/>
        <w:ind w:firstLine="560" w:firstLineChars="20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3.个人或作为主创成员的艺术作品入选校级及以上展览。（4分）</w:t>
      </w:r>
    </w:p>
    <w:p w14:paraId="3DA5622C">
      <w:pPr>
        <w:keepNext w:val="0"/>
        <w:keepLines w:val="0"/>
        <w:widowControl/>
        <w:numPr>
          <w:ilvl w:val="0"/>
          <w:numId w:val="0"/>
        </w:numPr>
        <w:suppressLineNumbers w:val="0"/>
        <w:ind w:firstLine="560"/>
        <w:jc w:val="left"/>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（1）在校级平台以上入选艺术作品，第一作者加2.5分，第二作者加2分，第三作者加1.5分，其余作者不得分。</w:t>
      </w:r>
    </w:p>
    <w:p w14:paraId="1907C4A5">
      <w:pPr>
        <w:keepNext w:val="0"/>
        <w:keepLines w:val="0"/>
        <w:widowControl/>
        <w:numPr>
          <w:ilvl w:val="0"/>
          <w:numId w:val="0"/>
        </w:numPr>
        <w:suppressLineNumbers w:val="0"/>
        <w:ind w:firstLine="560" w:firstLineChars="200"/>
        <w:jc w:val="left"/>
        <w:rPr>
          <w:rFonts w:hint="default"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（2）在校级平台展览艺术作品，第一作者加1.5分，第二作者加1.2分，第三作者加1分，其余作者不得分。</w:t>
      </w:r>
    </w:p>
    <w:p w14:paraId="5614C8DD">
      <w:pPr>
        <w:pStyle w:val="11"/>
        <w:widowControl/>
        <w:numPr>
          <w:ilvl w:val="0"/>
          <w:numId w:val="24"/>
        </w:numPr>
        <w:topLinePunct w:val="0"/>
        <w:ind w:left="0" w:leftChars="0" w:firstLine="480" w:firstLineChars="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经学院认定的其他加分项</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lang w:val="en-US" w:eastAsia="zh-CN"/>
        </w:rPr>
        <w:t>10分</w:t>
      </w:r>
      <w:r>
        <w:rPr>
          <w:rFonts w:hint="eastAsia" w:ascii="仿宋" w:hAnsi="仿宋" w:eastAsia="仿宋" w:cs="仿宋"/>
          <w:b/>
          <w:bCs/>
          <w:color w:val="000000"/>
          <w:sz w:val="28"/>
          <w:szCs w:val="28"/>
          <w:lang w:eastAsia="zh-CN"/>
        </w:rPr>
        <w:t>）</w:t>
      </w:r>
    </w:p>
    <w:p w14:paraId="21C159B9">
      <w:pPr>
        <w:pStyle w:val="11"/>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1.经学院认定的文艺类通报加分，每次活动加0.4分，最高得5分。（需要辅导员签字证明材料）</w:t>
      </w:r>
    </w:p>
    <w:p w14:paraId="67A57D6A">
      <w:pPr>
        <w:pStyle w:val="11"/>
        <w:numPr>
          <w:ilvl w:val="0"/>
          <w:numId w:val="0"/>
        </w:numPr>
        <w:topLinePunct w:val="0"/>
        <w:ind w:firstLine="560" w:firstLineChars="20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2.学生选修《艺术导论》《音乐鉴赏》《美术鉴赏》《影视鉴赏》《戏剧鉴赏》《舞蹈鉴赏》《书法鉴赏》《戏曲鉴赏》《心理健康教 育》等美育类选修课程，考核合格的，每门次加2.5分，上限5分。</w:t>
      </w:r>
    </w:p>
    <w:p w14:paraId="4D09F9BC">
      <w:pPr>
        <w:pStyle w:val="11"/>
        <w:numPr>
          <w:ilvl w:val="0"/>
          <w:numId w:val="0"/>
        </w:numPr>
        <w:bidi w:val="0"/>
        <w:ind w:leftChars="200"/>
        <w:rPr>
          <w:rFonts w:hint="eastAsia"/>
        </w:rPr>
      </w:pPr>
    </w:p>
    <w:p w14:paraId="251CAD69">
      <w:pPr>
        <w:pStyle w:val="16"/>
        <w:numPr>
          <w:ilvl w:val="0"/>
          <w:numId w:val="1"/>
        </w:numPr>
        <w:rPr>
          <w:highlight w:val="none"/>
        </w:rPr>
      </w:pPr>
      <w:r>
        <w:rPr>
          <w:highlight w:val="none"/>
        </w:rPr>
        <w:t>劳育素质测评标准</w:t>
      </w:r>
    </w:p>
    <w:p w14:paraId="109C3155">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劳育素质能力测评模块突出大学生劳动实践与技能，引导学生牢固树立“劳动最光荣、劳动最崇高、劳动最伟大、劳动最美丽”的社会主义劳动价值观，弘扬劳动精神。</w:t>
      </w:r>
    </w:p>
    <w:p w14:paraId="7F8F5ED2">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劳育素质能力测评内容主要包括学生劳动观念、劳动行为习惯、参加生产劳动情况、参与文明校园建设情况、从事志愿服务、社会实践和劳动主题教育活动等方面的表现。劳育素质能力测评采用百分制，测评成绩L包括劳育基础性评价得分L1和劳育成果性评价得分L2两部分。该项总分不超过100分，累计得分超过100分的按100分计。</w:t>
      </w:r>
    </w:p>
    <w:p w14:paraId="04CA1B95">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劳育基础性评价总分为60分。该项由所在班级团支部依据学生日常行为进行综合评价赋分。</w:t>
      </w:r>
    </w:p>
    <w:p w14:paraId="3F504440">
      <w:pPr>
        <w:pStyle w:val="11"/>
        <w:numPr>
          <w:ilvl w:val="0"/>
          <w:numId w:val="26"/>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正确理解劳动的价值，尊重劳动，尊重劳动者，牢固树立了劳动最光荣、劳动最崇高、劳动最伟大、劳动最美丽的思想观念，并在日常生活中积极践行；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20分</w:t>
      </w:r>
      <w:r>
        <w:rPr>
          <w:rFonts w:hint="eastAsia" w:ascii="仿宋" w:hAnsi="仿宋" w:eastAsia="仿宋" w:cs="仿宋"/>
          <w:color w:val="auto"/>
          <w:sz w:val="28"/>
          <w:szCs w:val="28"/>
          <w:highlight w:val="none"/>
          <w:lang w:eastAsia="zh-CN"/>
        </w:rPr>
        <w:t>）</w:t>
      </w:r>
    </w:p>
    <w:p w14:paraId="515ACE4A">
      <w:pPr>
        <w:pStyle w:val="11"/>
        <w:numPr>
          <w:ilvl w:val="0"/>
          <w:numId w:val="26"/>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掌握基本的劳动知识技能，能够正确使用常见劳动工具、增强体力、智力和创造力，具备完成一定劳动任务所需要的设计、操作能力及团队合作能力；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20分</w:t>
      </w:r>
      <w:r>
        <w:rPr>
          <w:rFonts w:hint="eastAsia" w:ascii="仿宋" w:hAnsi="仿宋" w:eastAsia="仿宋" w:cs="仿宋"/>
          <w:color w:val="auto"/>
          <w:sz w:val="28"/>
          <w:szCs w:val="28"/>
          <w:highlight w:val="none"/>
          <w:lang w:eastAsia="zh-CN"/>
        </w:rPr>
        <w:t>）</w:t>
      </w:r>
    </w:p>
    <w:p w14:paraId="160B3348">
      <w:pPr>
        <w:pStyle w:val="11"/>
        <w:numPr>
          <w:ilvl w:val="0"/>
          <w:numId w:val="26"/>
        </w:numPr>
        <w:topLinePunct w:val="0"/>
        <w:ind w:left="0" w:leftChars="0" w:firstLine="480" w:firstLineChars="0"/>
        <w:rPr>
          <w:rFonts w:hint="eastAsia" w:ascii="仿宋" w:hAnsi="仿宋" w:eastAsia="仿宋" w:cs="仿宋"/>
          <w:b w:val="0"/>
          <w:color w:val="auto"/>
          <w:sz w:val="28"/>
          <w:szCs w:val="28"/>
          <w:highlight w:val="none"/>
        </w:rPr>
      </w:pPr>
      <w:r>
        <w:rPr>
          <w:rFonts w:hint="eastAsia" w:ascii="仿宋" w:hAnsi="仿宋" w:eastAsia="仿宋" w:cs="仿宋"/>
          <w:color w:val="auto"/>
          <w:sz w:val="28"/>
          <w:szCs w:val="28"/>
          <w:highlight w:val="none"/>
        </w:rPr>
        <w:t>具备较强的公共服务意识和劳动奉献精神，能够自觉自愿、认真负责、安全规范、坚持不懈地参与劳动，形成诚实守信、吃苦耐劳的品质，珍惜劳动成果。</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20分</w:t>
      </w:r>
      <w:r>
        <w:rPr>
          <w:rFonts w:hint="eastAsia" w:ascii="仿宋" w:hAnsi="仿宋" w:eastAsia="仿宋" w:cs="仿宋"/>
          <w:color w:val="auto"/>
          <w:sz w:val="28"/>
          <w:szCs w:val="28"/>
          <w:highlight w:val="none"/>
          <w:lang w:eastAsia="zh-CN"/>
        </w:rPr>
        <w:t>）</w:t>
      </w:r>
    </w:p>
    <w:p w14:paraId="3117FFFF">
      <w:pPr>
        <w:pStyle w:val="11"/>
        <w:widowControl/>
        <w:numPr>
          <w:ilvl w:val="0"/>
          <w:numId w:val="2"/>
        </w:numPr>
        <w:ind w:left="0" w:leftChars="0" w:firstLine="482" w:firstLineChars="0"/>
        <w:rPr>
          <w:rFonts w:hint="eastAsia" w:ascii="仿宋" w:hAnsi="仿宋" w:eastAsia="仿宋" w:cs="Times New Roman"/>
          <w:color w:val="auto"/>
          <w:kern w:val="2"/>
          <w:sz w:val="28"/>
          <w:szCs w:val="28"/>
          <w:highlight w:val="none"/>
          <w:shd w:val="clear" w:color="auto" w:fill="auto"/>
          <w:lang w:val="en-US" w:eastAsia="zh-CN" w:bidi="ar-SA"/>
        </w:rPr>
      </w:pPr>
      <w:r>
        <w:rPr>
          <w:rFonts w:hint="eastAsia" w:ascii="仿宋" w:hAnsi="仿宋" w:eastAsia="仿宋" w:cs="Times New Roman"/>
          <w:color w:val="auto"/>
          <w:kern w:val="2"/>
          <w:sz w:val="28"/>
          <w:szCs w:val="28"/>
          <w:highlight w:val="none"/>
          <w:shd w:val="clear" w:color="auto" w:fill="auto"/>
          <w:lang w:val="en-US" w:eastAsia="zh-CN" w:bidi="ar-SA"/>
        </w:rPr>
        <w:t>劳育成果性评价总分原则上为40分，累计得分超过40分的以40分计。测评内容主要包括志愿服务、社会实践、校园服务等部分。</w:t>
      </w:r>
    </w:p>
    <w:p w14:paraId="3658D970">
      <w:pPr>
        <w:pStyle w:val="11"/>
        <w:widowControl/>
        <w:numPr>
          <w:ilvl w:val="0"/>
          <w:numId w:val="0"/>
        </w:numPr>
        <w:ind w:left="482" w:left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（一）志愿服务（15分）</w:t>
      </w:r>
    </w:p>
    <w:p w14:paraId="70456C93">
      <w:pPr>
        <w:keepNext w:val="0"/>
        <w:keepLines w:val="0"/>
        <w:widowControl/>
        <w:suppressLineNumbers w:val="0"/>
        <w:ind w:firstLine="560" w:firstLineChars="20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1.积极参加各级各类志愿服务项目大赛及获奖情况；（5分）</w:t>
      </w:r>
    </w:p>
    <w:tbl>
      <w:tblPr>
        <w:tblStyle w:val="18"/>
        <w:tblpPr w:leftFromText="180" w:rightFromText="180" w:vertAnchor="text" w:horzAnchor="margin" w:tblpXSpec="center" w:tblpY="26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1616"/>
        <w:gridCol w:w="1616"/>
        <w:gridCol w:w="1617"/>
        <w:gridCol w:w="1617"/>
      </w:tblGrid>
      <w:tr w14:paraId="70BF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70D34378">
            <w:pPr>
              <w:keepNext w:val="0"/>
              <w:keepLines w:val="0"/>
              <w:pageBreakBefore w:val="0"/>
              <w:widowControl w:val="0"/>
              <w:kinsoku/>
              <w:wordWrap/>
              <w:overflowPunct/>
              <w:topLinePunct w:val="0"/>
              <w:autoSpaceDE/>
              <w:autoSpaceDN/>
              <w:bidi w:val="0"/>
              <w:adjustRightInd/>
              <w:snapToGrid/>
              <w:spacing w:line="360" w:lineRule="auto"/>
              <w:ind w:firstLine="632"/>
              <w:jc w:val="center"/>
              <w:textAlignment w:val="auto"/>
              <w:rPr>
                <w:rFonts w:hint="eastAsia" w:ascii="仿宋" w:hAnsi="仿宋" w:eastAsia="仿宋" w:cs="仿宋"/>
                <w:color w:val="auto"/>
                <w:sz w:val="28"/>
                <w:szCs w:val="28"/>
                <w:highlight w:val="none"/>
                <w:shd w:val="clear" w:color="auto" w:fill="auto"/>
              </w:rPr>
            </w:pPr>
          </w:p>
        </w:tc>
        <w:tc>
          <w:tcPr>
            <w:tcW w:w="948" w:type="pct"/>
            <w:vAlign w:val="center"/>
          </w:tcPr>
          <w:p w14:paraId="5019C4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特等奖</w:t>
            </w:r>
          </w:p>
        </w:tc>
        <w:tc>
          <w:tcPr>
            <w:tcW w:w="948" w:type="pct"/>
            <w:vAlign w:val="center"/>
          </w:tcPr>
          <w:p w14:paraId="02ACA4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一等奖</w:t>
            </w:r>
          </w:p>
        </w:tc>
        <w:tc>
          <w:tcPr>
            <w:tcW w:w="948" w:type="pct"/>
            <w:vAlign w:val="center"/>
          </w:tcPr>
          <w:p w14:paraId="58E949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二等奖</w:t>
            </w:r>
          </w:p>
        </w:tc>
        <w:tc>
          <w:tcPr>
            <w:tcW w:w="948" w:type="pct"/>
            <w:vAlign w:val="center"/>
          </w:tcPr>
          <w:p w14:paraId="59E445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三等奖</w:t>
            </w:r>
          </w:p>
        </w:tc>
      </w:tr>
      <w:tr w14:paraId="46DC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546CD5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国家级</w:t>
            </w:r>
          </w:p>
        </w:tc>
        <w:tc>
          <w:tcPr>
            <w:tcW w:w="948" w:type="pct"/>
            <w:vAlign w:val="center"/>
          </w:tcPr>
          <w:p w14:paraId="4F6B4C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w:t>
            </w:r>
            <w:r>
              <w:rPr>
                <w:rFonts w:hint="eastAsia" w:ascii="仿宋" w:hAnsi="仿宋" w:eastAsia="仿宋" w:cs="仿宋"/>
                <w:color w:val="auto"/>
                <w:sz w:val="28"/>
                <w:szCs w:val="28"/>
                <w:highlight w:val="none"/>
                <w:shd w:val="clear" w:color="auto" w:fill="auto"/>
              </w:rPr>
              <w:t>分</w:t>
            </w:r>
          </w:p>
        </w:tc>
        <w:tc>
          <w:tcPr>
            <w:tcW w:w="948" w:type="pct"/>
            <w:vAlign w:val="center"/>
          </w:tcPr>
          <w:p w14:paraId="0962C5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4.5</w:t>
            </w:r>
            <w:r>
              <w:rPr>
                <w:rFonts w:hint="eastAsia" w:ascii="仿宋" w:hAnsi="仿宋" w:eastAsia="仿宋" w:cs="仿宋"/>
                <w:color w:val="auto"/>
                <w:sz w:val="28"/>
                <w:szCs w:val="28"/>
                <w:highlight w:val="none"/>
                <w:shd w:val="clear" w:color="auto" w:fill="auto"/>
              </w:rPr>
              <w:t>分</w:t>
            </w:r>
          </w:p>
        </w:tc>
        <w:tc>
          <w:tcPr>
            <w:tcW w:w="948" w:type="pct"/>
            <w:vAlign w:val="center"/>
          </w:tcPr>
          <w:p w14:paraId="59157B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c>
          <w:tcPr>
            <w:tcW w:w="948" w:type="pct"/>
            <w:vAlign w:val="center"/>
          </w:tcPr>
          <w:p w14:paraId="2CAF4C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r>
      <w:tr w14:paraId="72DF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0C5ED4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省级</w:t>
            </w:r>
          </w:p>
        </w:tc>
        <w:tc>
          <w:tcPr>
            <w:tcW w:w="948" w:type="pct"/>
            <w:vAlign w:val="center"/>
          </w:tcPr>
          <w:p w14:paraId="186BE1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c>
          <w:tcPr>
            <w:tcW w:w="948" w:type="pct"/>
            <w:vAlign w:val="center"/>
          </w:tcPr>
          <w:p w14:paraId="3E9A3B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3.2</w:t>
            </w:r>
            <w:r>
              <w:rPr>
                <w:rFonts w:hint="eastAsia" w:ascii="仿宋" w:hAnsi="仿宋" w:eastAsia="仿宋" w:cs="仿宋"/>
                <w:color w:val="auto"/>
                <w:sz w:val="28"/>
                <w:szCs w:val="28"/>
                <w:highlight w:val="none"/>
                <w:shd w:val="clear" w:color="auto" w:fill="auto"/>
              </w:rPr>
              <w:t>分</w:t>
            </w:r>
          </w:p>
        </w:tc>
        <w:tc>
          <w:tcPr>
            <w:tcW w:w="948" w:type="pct"/>
            <w:vAlign w:val="center"/>
          </w:tcPr>
          <w:p w14:paraId="645BD4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2.9</w:t>
            </w:r>
            <w:r>
              <w:rPr>
                <w:rFonts w:hint="eastAsia" w:ascii="仿宋" w:hAnsi="仿宋" w:eastAsia="仿宋" w:cs="仿宋"/>
                <w:color w:val="auto"/>
                <w:sz w:val="28"/>
                <w:szCs w:val="28"/>
                <w:highlight w:val="none"/>
                <w:shd w:val="clear" w:color="auto" w:fill="auto"/>
              </w:rPr>
              <w:t>分</w:t>
            </w:r>
          </w:p>
        </w:tc>
        <w:tc>
          <w:tcPr>
            <w:tcW w:w="948" w:type="pct"/>
            <w:vAlign w:val="center"/>
          </w:tcPr>
          <w:p w14:paraId="4DA615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2.6</w:t>
            </w:r>
            <w:r>
              <w:rPr>
                <w:rFonts w:hint="eastAsia" w:ascii="仿宋" w:hAnsi="仿宋" w:eastAsia="仿宋" w:cs="仿宋"/>
                <w:color w:val="auto"/>
                <w:sz w:val="28"/>
                <w:szCs w:val="28"/>
                <w:highlight w:val="none"/>
                <w:shd w:val="clear" w:color="auto" w:fill="auto"/>
              </w:rPr>
              <w:t>分</w:t>
            </w:r>
          </w:p>
        </w:tc>
      </w:tr>
      <w:tr w14:paraId="6BD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36BE25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校、区级</w:t>
            </w:r>
          </w:p>
        </w:tc>
        <w:tc>
          <w:tcPr>
            <w:tcW w:w="948" w:type="pct"/>
            <w:vAlign w:val="center"/>
          </w:tcPr>
          <w:p w14:paraId="7194B0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2.5</w:t>
            </w:r>
            <w:r>
              <w:rPr>
                <w:rFonts w:hint="eastAsia" w:ascii="仿宋" w:hAnsi="仿宋" w:eastAsia="仿宋" w:cs="仿宋"/>
                <w:color w:val="auto"/>
                <w:sz w:val="28"/>
                <w:szCs w:val="28"/>
                <w:highlight w:val="none"/>
                <w:shd w:val="clear" w:color="auto" w:fill="auto"/>
              </w:rPr>
              <w:t>分</w:t>
            </w:r>
          </w:p>
        </w:tc>
        <w:tc>
          <w:tcPr>
            <w:tcW w:w="948" w:type="pct"/>
            <w:vAlign w:val="center"/>
          </w:tcPr>
          <w:p w14:paraId="305006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2.2</w:t>
            </w:r>
            <w:r>
              <w:rPr>
                <w:rFonts w:hint="eastAsia" w:ascii="仿宋" w:hAnsi="仿宋" w:eastAsia="仿宋" w:cs="仿宋"/>
                <w:color w:val="auto"/>
                <w:sz w:val="28"/>
                <w:szCs w:val="28"/>
                <w:highlight w:val="none"/>
                <w:shd w:val="clear" w:color="auto" w:fill="auto"/>
              </w:rPr>
              <w:t>分</w:t>
            </w:r>
          </w:p>
        </w:tc>
        <w:tc>
          <w:tcPr>
            <w:tcW w:w="948" w:type="pct"/>
            <w:vAlign w:val="center"/>
          </w:tcPr>
          <w:p w14:paraId="2A8132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c>
          <w:tcPr>
            <w:tcW w:w="948" w:type="pct"/>
            <w:vAlign w:val="center"/>
          </w:tcPr>
          <w:p w14:paraId="390609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r>
      <w:tr w14:paraId="65C4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6AF9F5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院级</w:t>
            </w:r>
          </w:p>
        </w:tc>
        <w:tc>
          <w:tcPr>
            <w:tcW w:w="948" w:type="pct"/>
            <w:vAlign w:val="center"/>
          </w:tcPr>
          <w:p w14:paraId="38C7D6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c>
          <w:tcPr>
            <w:tcW w:w="948" w:type="pct"/>
            <w:vAlign w:val="center"/>
          </w:tcPr>
          <w:p w14:paraId="1E38C6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1.3</w:t>
            </w:r>
            <w:r>
              <w:rPr>
                <w:rFonts w:hint="eastAsia" w:ascii="仿宋" w:hAnsi="仿宋" w:eastAsia="仿宋" w:cs="仿宋"/>
                <w:color w:val="auto"/>
                <w:sz w:val="28"/>
                <w:szCs w:val="28"/>
                <w:highlight w:val="none"/>
                <w:shd w:val="clear" w:color="auto" w:fill="auto"/>
              </w:rPr>
              <w:t>分</w:t>
            </w:r>
          </w:p>
        </w:tc>
        <w:tc>
          <w:tcPr>
            <w:tcW w:w="948" w:type="pct"/>
            <w:vAlign w:val="center"/>
          </w:tcPr>
          <w:p w14:paraId="2D6422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1.2</w:t>
            </w:r>
            <w:r>
              <w:rPr>
                <w:rFonts w:hint="eastAsia" w:ascii="仿宋" w:hAnsi="仿宋" w:eastAsia="仿宋" w:cs="仿宋"/>
                <w:color w:val="auto"/>
                <w:sz w:val="28"/>
                <w:szCs w:val="28"/>
                <w:highlight w:val="none"/>
                <w:shd w:val="clear" w:color="auto" w:fill="auto"/>
              </w:rPr>
              <w:t>分</w:t>
            </w:r>
          </w:p>
        </w:tc>
        <w:tc>
          <w:tcPr>
            <w:tcW w:w="948" w:type="pct"/>
            <w:vAlign w:val="center"/>
          </w:tcPr>
          <w:p w14:paraId="4A5207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w:t>
            </w:r>
            <w:r>
              <w:rPr>
                <w:rFonts w:hint="eastAsia" w:ascii="仿宋" w:hAnsi="仿宋" w:eastAsia="仿宋" w:cs="仿宋"/>
                <w:color w:val="auto"/>
                <w:sz w:val="28"/>
                <w:szCs w:val="28"/>
                <w:highlight w:val="none"/>
                <w:shd w:val="clear" w:color="auto" w:fill="auto"/>
              </w:rPr>
              <w:t>分</w:t>
            </w:r>
          </w:p>
        </w:tc>
      </w:tr>
    </w:tbl>
    <w:p w14:paraId="7CF52699">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p>
    <w:p w14:paraId="661E80BA">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2.积极进行志愿者注册并参与支教、大型赛会服务、社区服务、田园使者、村主任助理等各类校内外志愿服务活动。（10分）</w:t>
      </w:r>
    </w:p>
    <w:p w14:paraId="7FBC8AFB">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根据学生参加田园使者、村主任助理、志愿者进社区、农高会志愿服务、杨凌马拉松赛事服务、“雷锋月”系列活动等各类志愿活动，及志愿者登记注册情况、参加公益类社团情况进行赋分。</w:t>
      </w:r>
    </w:p>
    <w:p w14:paraId="4BEF148D">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学年内参加过大型活动志愿服务活动（校级及以上，农高会、世园会、校庆、马拉松志愿者等）加2分；如获得活动组织方相关单位“优秀志愿者”等称号额外加0.5分（不同类型的“优秀志愿者”额外分可累加，相同类型的“优秀志愿者”以最高分计）；</w:t>
      </w:r>
    </w:p>
    <w:p w14:paraId="23A6B9B2">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（2）“学习帮扶中心”的志愿者，被评为优秀志愿者的学生加0.5分，良好志愿者加0.3分，合格志愿者0.2，不合格的不加分（春季学期聘任的志愿者加分减半）；</w:t>
      </w:r>
    </w:p>
    <w:p w14:paraId="62FF7A3E">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（3）学年内参加阳光家教及支教活动，服务两次以上计分，每次计0.2分；</w:t>
      </w:r>
    </w:p>
    <w:p w14:paraId="3A5E8C06">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（4）其他经学院认定的志愿服务活动，每个活动加0.2分。（需提交相关指导老师或辅导员签字证明材料）</w:t>
      </w:r>
    </w:p>
    <w:p w14:paraId="38C5A1B1">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（5）服务于学院各类事务等工作的志愿者，每人次加0.2。</w:t>
      </w:r>
    </w:p>
    <w:p w14:paraId="4B95A689">
      <w:pPr>
        <w:pStyle w:val="11"/>
        <w:widowControl/>
        <w:numPr>
          <w:ilvl w:val="0"/>
          <w:numId w:val="0"/>
        </w:numPr>
        <w:ind w:left="482" w:leftChars="0"/>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（二）社会实践（15分）</w:t>
      </w:r>
    </w:p>
    <w:p w14:paraId="72F31F14">
      <w:pPr>
        <w:keepNext w:val="0"/>
        <w:keepLines w:val="0"/>
        <w:widowControl/>
        <w:suppressLineNumbers w:val="0"/>
        <w:ind w:firstLine="560" w:firstLineChars="20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1.积极参加各级各类社会实践大赛及获奖情况； （5分）</w:t>
      </w:r>
    </w:p>
    <w:tbl>
      <w:tblPr>
        <w:tblStyle w:val="18"/>
        <w:tblpPr w:leftFromText="180" w:rightFromText="180" w:vertAnchor="text" w:horzAnchor="margin" w:tblpXSpec="center" w:tblpY="26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1616"/>
        <w:gridCol w:w="1616"/>
        <w:gridCol w:w="1617"/>
        <w:gridCol w:w="1617"/>
      </w:tblGrid>
      <w:tr w14:paraId="5998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030CBDE6">
            <w:pPr>
              <w:keepNext w:val="0"/>
              <w:keepLines w:val="0"/>
              <w:pageBreakBefore w:val="0"/>
              <w:widowControl w:val="0"/>
              <w:kinsoku/>
              <w:wordWrap/>
              <w:overflowPunct/>
              <w:topLinePunct w:val="0"/>
              <w:autoSpaceDE/>
              <w:autoSpaceDN/>
              <w:bidi w:val="0"/>
              <w:adjustRightInd/>
              <w:snapToGrid/>
              <w:spacing w:line="360" w:lineRule="auto"/>
              <w:ind w:firstLine="632"/>
              <w:jc w:val="center"/>
              <w:textAlignment w:val="auto"/>
              <w:rPr>
                <w:rFonts w:hint="eastAsia" w:ascii="仿宋" w:hAnsi="仿宋" w:eastAsia="仿宋" w:cs="仿宋"/>
                <w:color w:val="auto"/>
                <w:sz w:val="28"/>
                <w:szCs w:val="28"/>
                <w:highlight w:val="none"/>
                <w:shd w:val="clear" w:color="auto" w:fill="auto"/>
              </w:rPr>
            </w:pPr>
          </w:p>
        </w:tc>
        <w:tc>
          <w:tcPr>
            <w:tcW w:w="948" w:type="pct"/>
            <w:vAlign w:val="center"/>
          </w:tcPr>
          <w:p w14:paraId="1AA74E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特等奖</w:t>
            </w:r>
          </w:p>
        </w:tc>
        <w:tc>
          <w:tcPr>
            <w:tcW w:w="948" w:type="pct"/>
            <w:vAlign w:val="center"/>
          </w:tcPr>
          <w:p w14:paraId="0BD9EE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一等奖</w:t>
            </w:r>
          </w:p>
        </w:tc>
        <w:tc>
          <w:tcPr>
            <w:tcW w:w="948" w:type="pct"/>
            <w:vAlign w:val="center"/>
          </w:tcPr>
          <w:p w14:paraId="3A1B82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二等奖</w:t>
            </w:r>
          </w:p>
        </w:tc>
        <w:tc>
          <w:tcPr>
            <w:tcW w:w="948" w:type="pct"/>
            <w:vAlign w:val="center"/>
          </w:tcPr>
          <w:p w14:paraId="6F199C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三等奖</w:t>
            </w:r>
          </w:p>
        </w:tc>
      </w:tr>
      <w:tr w14:paraId="5559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1D07C8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国家级</w:t>
            </w:r>
          </w:p>
        </w:tc>
        <w:tc>
          <w:tcPr>
            <w:tcW w:w="948" w:type="pct"/>
            <w:vAlign w:val="center"/>
          </w:tcPr>
          <w:p w14:paraId="077E46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5</w:t>
            </w:r>
            <w:r>
              <w:rPr>
                <w:rFonts w:hint="eastAsia" w:ascii="仿宋" w:hAnsi="仿宋" w:eastAsia="仿宋" w:cs="仿宋"/>
                <w:color w:val="auto"/>
                <w:sz w:val="28"/>
                <w:szCs w:val="28"/>
                <w:highlight w:val="none"/>
                <w:shd w:val="clear" w:color="auto" w:fill="auto"/>
              </w:rPr>
              <w:t>分</w:t>
            </w:r>
          </w:p>
        </w:tc>
        <w:tc>
          <w:tcPr>
            <w:tcW w:w="948" w:type="pct"/>
            <w:vAlign w:val="center"/>
          </w:tcPr>
          <w:p w14:paraId="74CC4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4.5</w:t>
            </w:r>
            <w:r>
              <w:rPr>
                <w:rFonts w:hint="eastAsia" w:ascii="仿宋" w:hAnsi="仿宋" w:eastAsia="仿宋" w:cs="仿宋"/>
                <w:color w:val="auto"/>
                <w:sz w:val="28"/>
                <w:szCs w:val="28"/>
                <w:highlight w:val="none"/>
                <w:shd w:val="clear" w:color="auto" w:fill="auto"/>
              </w:rPr>
              <w:t>分</w:t>
            </w:r>
          </w:p>
        </w:tc>
        <w:tc>
          <w:tcPr>
            <w:tcW w:w="948" w:type="pct"/>
            <w:vAlign w:val="center"/>
          </w:tcPr>
          <w:p w14:paraId="0C4AB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4</w:t>
            </w:r>
            <w:r>
              <w:rPr>
                <w:rFonts w:hint="eastAsia" w:ascii="仿宋" w:hAnsi="仿宋" w:eastAsia="仿宋" w:cs="仿宋"/>
                <w:color w:val="auto"/>
                <w:sz w:val="28"/>
                <w:szCs w:val="28"/>
                <w:highlight w:val="none"/>
                <w:shd w:val="clear" w:color="auto" w:fill="auto"/>
              </w:rPr>
              <w:t>分</w:t>
            </w:r>
          </w:p>
        </w:tc>
        <w:tc>
          <w:tcPr>
            <w:tcW w:w="948" w:type="pct"/>
            <w:vAlign w:val="center"/>
          </w:tcPr>
          <w:p w14:paraId="599AB5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r>
      <w:tr w14:paraId="5D79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445B19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省级</w:t>
            </w:r>
          </w:p>
        </w:tc>
        <w:tc>
          <w:tcPr>
            <w:tcW w:w="948" w:type="pct"/>
            <w:vAlign w:val="center"/>
          </w:tcPr>
          <w:p w14:paraId="548B82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3.5</w:t>
            </w:r>
            <w:r>
              <w:rPr>
                <w:rFonts w:hint="eastAsia" w:ascii="仿宋" w:hAnsi="仿宋" w:eastAsia="仿宋" w:cs="仿宋"/>
                <w:color w:val="auto"/>
                <w:sz w:val="28"/>
                <w:szCs w:val="28"/>
                <w:highlight w:val="none"/>
                <w:shd w:val="clear" w:color="auto" w:fill="auto"/>
              </w:rPr>
              <w:t>分</w:t>
            </w:r>
          </w:p>
        </w:tc>
        <w:tc>
          <w:tcPr>
            <w:tcW w:w="948" w:type="pct"/>
            <w:vAlign w:val="center"/>
          </w:tcPr>
          <w:p w14:paraId="398BE2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3.2</w:t>
            </w:r>
            <w:r>
              <w:rPr>
                <w:rFonts w:hint="eastAsia" w:ascii="仿宋" w:hAnsi="仿宋" w:eastAsia="仿宋" w:cs="仿宋"/>
                <w:color w:val="auto"/>
                <w:sz w:val="28"/>
                <w:szCs w:val="28"/>
                <w:highlight w:val="none"/>
                <w:shd w:val="clear" w:color="auto" w:fill="auto"/>
              </w:rPr>
              <w:t>分</w:t>
            </w:r>
          </w:p>
        </w:tc>
        <w:tc>
          <w:tcPr>
            <w:tcW w:w="948" w:type="pct"/>
            <w:vAlign w:val="center"/>
          </w:tcPr>
          <w:p w14:paraId="6D09ED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2.9</w:t>
            </w:r>
            <w:r>
              <w:rPr>
                <w:rFonts w:hint="eastAsia" w:ascii="仿宋" w:hAnsi="仿宋" w:eastAsia="仿宋" w:cs="仿宋"/>
                <w:color w:val="auto"/>
                <w:sz w:val="28"/>
                <w:szCs w:val="28"/>
                <w:highlight w:val="none"/>
                <w:shd w:val="clear" w:color="auto" w:fill="auto"/>
              </w:rPr>
              <w:t>分</w:t>
            </w:r>
          </w:p>
        </w:tc>
        <w:tc>
          <w:tcPr>
            <w:tcW w:w="948" w:type="pct"/>
            <w:vAlign w:val="center"/>
          </w:tcPr>
          <w:p w14:paraId="57C6F2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2.6</w:t>
            </w:r>
            <w:r>
              <w:rPr>
                <w:rFonts w:hint="eastAsia" w:ascii="仿宋" w:hAnsi="仿宋" w:eastAsia="仿宋" w:cs="仿宋"/>
                <w:color w:val="auto"/>
                <w:sz w:val="28"/>
                <w:szCs w:val="28"/>
                <w:highlight w:val="none"/>
                <w:shd w:val="clear" w:color="auto" w:fill="auto"/>
              </w:rPr>
              <w:t>分</w:t>
            </w:r>
          </w:p>
        </w:tc>
      </w:tr>
      <w:tr w14:paraId="05FA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68CC11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校、区级</w:t>
            </w:r>
          </w:p>
        </w:tc>
        <w:tc>
          <w:tcPr>
            <w:tcW w:w="948" w:type="pct"/>
            <w:vAlign w:val="center"/>
          </w:tcPr>
          <w:p w14:paraId="6EABC8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2.5</w:t>
            </w:r>
            <w:r>
              <w:rPr>
                <w:rFonts w:hint="eastAsia" w:ascii="仿宋" w:hAnsi="仿宋" w:eastAsia="仿宋" w:cs="仿宋"/>
                <w:color w:val="auto"/>
                <w:sz w:val="28"/>
                <w:szCs w:val="28"/>
                <w:highlight w:val="none"/>
                <w:shd w:val="clear" w:color="auto" w:fill="auto"/>
              </w:rPr>
              <w:t>分</w:t>
            </w:r>
          </w:p>
        </w:tc>
        <w:tc>
          <w:tcPr>
            <w:tcW w:w="948" w:type="pct"/>
            <w:vAlign w:val="center"/>
          </w:tcPr>
          <w:p w14:paraId="5A24A8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2.2</w:t>
            </w:r>
            <w:r>
              <w:rPr>
                <w:rFonts w:hint="eastAsia" w:ascii="仿宋" w:hAnsi="仿宋" w:eastAsia="仿宋" w:cs="仿宋"/>
                <w:color w:val="auto"/>
                <w:sz w:val="28"/>
                <w:szCs w:val="28"/>
                <w:highlight w:val="none"/>
                <w:shd w:val="clear" w:color="auto" w:fill="auto"/>
              </w:rPr>
              <w:t>分</w:t>
            </w:r>
          </w:p>
        </w:tc>
        <w:tc>
          <w:tcPr>
            <w:tcW w:w="948" w:type="pct"/>
            <w:vAlign w:val="center"/>
          </w:tcPr>
          <w:p w14:paraId="49DA29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2</w:t>
            </w:r>
            <w:r>
              <w:rPr>
                <w:rFonts w:hint="eastAsia" w:ascii="仿宋" w:hAnsi="仿宋" w:eastAsia="仿宋" w:cs="仿宋"/>
                <w:color w:val="auto"/>
                <w:sz w:val="28"/>
                <w:szCs w:val="28"/>
                <w:highlight w:val="none"/>
                <w:shd w:val="clear" w:color="auto" w:fill="auto"/>
              </w:rPr>
              <w:t>分</w:t>
            </w:r>
          </w:p>
        </w:tc>
        <w:tc>
          <w:tcPr>
            <w:tcW w:w="948" w:type="pct"/>
            <w:vAlign w:val="center"/>
          </w:tcPr>
          <w:p w14:paraId="7DB055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r>
      <w:tr w14:paraId="7C7E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Align w:val="center"/>
          </w:tcPr>
          <w:p w14:paraId="121CF6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院级</w:t>
            </w:r>
          </w:p>
        </w:tc>
        <w:tc>
          <w:tcPr>
            <w:tcW w:w="948" w:type="pct"/>
            <w:vAlign w:val="center"/>
          </w:tcPr>
          <w:p w14:paraId="537B0A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1.5</w:t>
            </w:r>
            <w:r>
              <w:rPr>
                <w:rFonts w:hint="eastAsia" w:ascii="仿宋" w:hAnsi="仿宋" w:eastAsia="仿宋" w:cs="仿宋"/>
                <w:color w:val="auto"/>
                <w:sz w:val="28"/>
                <w:szCs w:val="28"/>
                <w:highlight w:val="none"/>
                <w:shd w:val="clear" w:color="auto" w:fill="auto"/>
              </w:rPr>
              <w:t>分</w:t>
            </w:r>
          </w:p>
        </w:tc>
        <w:tc>
          <w:tcPr>
            <w:tcW w:w="948" w:type="pct"/>
            <w:vAlign w:val="center"/>
          </w:tcPr>
          <w:p w14:paraId="7FB367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1.3</w:t>
            </w:r>
            <w:r>
              <w:rPr>
                <w:rFonts w:hint="eastAsia" w:ascii="仿宋" w:hAnsi="仿宋" w:eastAsia="仿宋" w:cs="仿宋"/>
                <w:color w:val="auto"/>
                <w:sz w:val="28"/>
                <w:szCs w:val="28"/>
                <w:highlight w:val="none"/>
                <w:shd w:val="clear" w:color="auto" w:fill="auto"/>
              </w:rPr>
              <w:t>分</w:t>
            </w:r>
          </w:p>
        </w:tc>
        <w:tc>
          <w:tcPr>
            <w:tcW w:w="948" w:type="pct"/>
            <w:vAlign w:val="center"/>
          </w:tcPr>
          <w:p w14:paraId="26984B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1.2</w:t>
            </w:r>
            <w:r>
              <w:rPr>
                <w:rFonts w:hint="eastAsia" w:ascii="仿宋" w:hAnsi="仿宋" w:eastAsia="仿宋" w:cs="仿宋"/>
                <w:color w:val="auto"/>
                <w:sz w:val="28"/>
                <w:szCs w:val="28"/>
                <w:highlight w:val="none"/>
                <w:shd w:val="clear" w:color="auto" w:fill="auto"/>
              </w:rPr>
              <w:t>分</w:t>
            </w:r>
          </w:p>
        </w:tc>
        <w:tc>
          <w:tcPr>
            <w:tcW w:w="948" w:type="pct"/>
            <w:vAlign w:val="center"/>
          </w:tcPr>
          <w:p w14:paraId="2D5AF4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1</w:t>
            </w:r>
            <w:r>
              <w:rPr>
                <w:rFonts w:hint="eastAsia" w:ascii="仿宋" w:hAnsi="仿宋" w:eastAsia="仿宋" w:cs="仿宋"/>
                <w:color w:val="auto"/>
                <w:sz w:val="28"/>
                <w:szCs w:val="28"/>
                <w:highlight w:val="none"/>
                <w:shd w:val="clear" w:color="auto" w:fill="auto"/>
              </w:rPr>
              <w:t>分</w:t>
            </w:r>
          </w:p>
        </w:tc>
      </w:tr>
    </w:tbl>
    <w:p w14:paraId="0CC6576E">
      <w:pPr>
        <w:keepNext w:val="0"/>
        <w:keepLines w:val="0"/>
        <w:widowControl/>
        <w:suppressLineNumbers w:val="0"/>
        <w:jc w:val="left"/>
        <w:rPr>
          <w:rFonts w:hint="eastAsia" w:ascii="仿宋" w:hAnsi="仿宋" w:eastAsia="仿宋" w:cs="仿宋"/>
          <w:color w:val="auto"/>
          <w:kern w:val="2"/>
          <w:sz w:val="28"/>
          <w:szCs w:val="28"/>
          <w:highlight w:val="none"/>
          <w:lang w:val="en-US" w:eastAsia="zh-CN" w:bidi="ar-SA"/>
        </w:rPr>
      </w:pPr>
    </w:p>
    <w:p w14:paraId="7FE7F219">
      <w:pPr>
        <w:keepNext w:val="0"/>
        <w:keepLines w:val="0"/>
        <w:widowControl/>
        <w:suppressLineNumbers w:val="0"/>
        <w:ind w:firstLine="560" w:firstLineChars="200"/>
        <w:jc w:val="lef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2.积极参与寒假“返家乡”暑期“三下乡”“大学生就业实习见习计划”“青年红色筑梦之旅”“小我融入大我，青春献给祖国”“青年实干家计划”等社会实践活动。（10分）</w:t>
      </w:r>
    </w:p>
    <w:p w14:paraId="5408A26D">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（1）学年内担任村主任助理并完成考核的每人加3分，获得优秀村助荣誉称号的每人额外加0.6分，获得十佳村助荣誉称号的每人额外加1分；</w:t>
      </w:r>
    </w:p>
    <w:p w14:paraId="09C6FB99">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（2）学年内代表学院组队参与田园使者活动并完成考核的队伍，队长加3分，队员加1.6分；终期考核被评为良好额外加0.5分，优秀额外加1分，以考核证书为准（队员所在队伍的队长必须为本院学生）；</w:t>
      </w:r>
    </w:p>
    <w:p w14:paraId="72FA1D7B">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（3）学年内组队申请成功的寒假回访母校队伍队长加1分，队员加0.5分；</w:t>
      </w:r>
    </w:p>
    <w:p w14:paraId="6EEC7ADC">
      <w:pPr>
        <w:pStyle w:val="11"/>
        <w:numPr>
          <w:ilvl w:val="0"/>
          <w:numId w:val="0"/>
        </w:numPr>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（4）学年内代表学院组队申请成功的暑期“三下乡”，队长加1.5分，队员加1分，跟随外院组队的队员加0.7分；</w:t>
      </w:r>
    </w:p>
    <w:p w14:paraId="4BDC5582">
      <w:pPr>
        <w:keepNext w:val="0"/>
        <w:keepLines w:val="0"/>
        <w:widowControl/>
        <w:suppressLineNumbers w:val="0"/>
        <w:ind w:firstLine="562" w:firstLineChars="200"/>
        <w:jc w:val="left"/>
        <w:rPr>
          <w:rFonts w:hint="eastAsia" w:ascii="仿宋" w:hAnsi="仿宋" w:eastAsia="仿宋" w:cs="Times New Roman"/>
          <w:b/>
          <w:bCs/>
          <w:color w:val="auto"/>
          <w:kern w:val="2"/>
          <w:sz w:val="28"/>
          <w:szCs w:val="28"/>
          <w:highlight w:val="none"/>
          <w:shd w:val="clear" w:color="auto" w:fill="auto"/>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 xml:space="preserve">（三）校园服务（10分） </w:t>
      </w:r>
    </w:p>
    <w:p w14:paraId="57DE16B7">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参与文明教室、文明宿舍、文明食堂、文明实验室、文明社区等各类文明校园创建活动，参与校园公共环境卫生清扫和绿化美化等活动。 </w:t>
      </w:r>
    </w:p>
    <w:p w14:paraId="09B3B413">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（1）文明校园建设：</w:t>
      </w:r>
    </w:p>
    <w:p w14:paraId="540ED419">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学年内积极参加文明教室建设，做好文明教室宣传工作，自愿参与学校组织的信息员队伍，并积极配合工作的同学加1分；</w:t>
      </w:r>
    </w:p>
    <w:p w14:paraId="10352CE3">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学年内积极参加文明宿舍建设，做好文明宿舍宣传工作，自愿参与学校组织的信息员队伍，并积极配合工作的同学加1分；</w:t>
      </w:r>
    </w:p>
    <w:p w14:paraId="1AB7D302">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学年内积极参加文明食堂建设，做好文明食堂宣传工作，自愿参与学校组织的文明食堂督察员队伍，并积极配合工作表现突出的同学加1分；</w:t>
      </w:r>
    </w:p>
    <w:p w14:paraId="72065844">
      <w:pPr>
        <w:keepNext w:val="0"/>
        <w:keepLines w:val="0"/>
        <w:widowControl/>
        <w:suppressLineNumbers w:val="0"/>
        <w:ind w:firstLine="560" w:firstLineChars="200"/>
        <w:jc w:val="left"/>
        <w:rPr>
          <w:rFonts w:hint="eastAsia" w:ascii="仿宋_GB2312" w:hAnsi="宋体" w:eastAsia="仿宋_GB2312" w:cs="仿宋_GB2312"/>
          <w:color w:val="000000"/>
          <w:kern w:val="0"/>
          <w:sz w:val="31"/>
          <w:szCs w:val="31"/>
          <w:lang w:val="en-US" w:eastAsia="zh-CN" w:bidi="ar"/>
        </w:rPr>
      </w:pPr>
      <w:r>
        <w:rPr>
          <w:rFonts w:hint="eastAsia" w:ascii="仿宋" w:hAnsi="仿宋" w:eastAsia="仿宋" w:cs="仿宋"/>
          <w:color w:val="000000"/>
          <w:kern w:val="0"/>
          <w:sz w:val="28"/>
          <w:szCs w:val="28"/>
          <w:lang w:val="en-US" w:eastAsia="zh-CN" w:bidi="ar"/>
        </w:rPr>
        <w:t>（2）文明教室考核：文明教室打扫工作评分为A级的班集体，所有班级成员加0.06分/次，信息员加0.08；文明教室打扫工作评分为C级的班集体，所有班级成员扣0.06分/次，评分为D级的班集体，所有班级成员扣0.1分/次；</w:t>
      </w:r>
    </w:p>
    <w:p w14:paraId="7C478DDE">
      <w:pPr>
        <w:keepNext w:val="0"/>
        <w:keepLines w:val="0"/>
        <w:widowControl/>
        <w:suppressLineNumbers w:val="0"/>
        <w:ind w:firstLine="562" w:firstLineChars="200"/>
        <w:jc w:val="left"/>
        <w:rPr>
          <w:rFonts w:hint="default" w:ascii="仿宋" w:hAnsi="仿宋" w:eastAsia="仿宋" w:cs="仿宋"/>
          <w:color w:val="auto"/>
          <w:kern w:val="2"/>
          <w:sz w:val="28"/>
          <w:szCs w:val="28"/>
          <w:highlight w:val="none"/>
          <w:lang w:val="en-US" w:eastAsia="zh-CN" w:bidi="ar-SA"/>
        </w:rPr>
      </w:pPr>
      <w:r>
        <w:rPr>
          <w:rFonts w:hint="eastAsia" w:ascii="仿宋" w:hAnsi="仿宋" w:eastAsia="仿宋" w:cs="Times New Roman"/>
          <w:b/>
          <w:bCs/>
          <w:color w:val="auto"/>
          <w:kern w:val="2"/>
          <w:sz w:val="28"/>
          <w:szCs w:val="28"/>
          <w:highlight w:val="none"/>
          <w:shd w:val="clear" w:color="auto" w:fill="auto"/>
          <w:lang w:val="en-US" w:eastAsia="zh-CN" w:bidi="ar-SA"/>
        </w:rPr>
        <w:t>（四）经学院认定的其他加分项（10分）。</w:t>
      </w:r>
    </w:p>
    <w:p w14:paraId="6A132F0F">
      <w:pPr>
        <w:pStyle w:val="11"/>
        <w:numPr>
          <w:ilvl w:val="0"/>
          <w:numId w:val="0"/>
        </w:numPr>
        <w:topLinePunct w:val="0"/>
        <w:ind w:firstLine="560" w:firstLineChars="200"/>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1.参加“三夏”生产劳动（农训、工训）优秀者（赋分85分及以上）计2分，合格者（60—85分）计1.5分，不合格者不计分。</w:t>
      </w:r>
    </w:p>
    <w:p w14:paraId="743DED00">
      <w:pPr>
        <w:pStyle w:val="11"/>
        <w:numPr>
          <w:ilvl w:val="0"/>
          <w:numId w:val="0"/>
        </w:numPr>
        <w:topLinePunct w:val="0"/>
        <w:ind w:firstLine="560" w:firstLineChars="200"/>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参加生产实习、实训等劳动（不包括学院必修课程实习实训）根据实习单位评价进行赋分，优秀者计2分，合格者计1.5分，证明材料要求：①实习协议，内容填写完整并加盖公章，水建学院楼A323辅导员办公室领取；②实习报告，按实习报告提交规范完成；③实习鉴定表，内容需填写完整并加盖公章。</w:t>
      </w:r>
    </w:p>
    <w:p w14:paraId="5B458A12">
      <w:pPr>
        <w:pStyle w:val="11"/>
        <w:numPr>
          <w:ilvl w:val="0"/>
          <w:numId w:val="0"/>
        </w:numPr>
        <w:topLinePunct w:val="0"/>
        <w:ind w:firstLine="560" w:firstLineChars="200"/>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3.加分项学生选修劳动教育类选修课程，考核合格的，每门次加0.5分。</w:t>
      </w:r>
    </w:p>
    <w:p w14:paraId="43C290D9">
      <w:pPr>
        <w:pStyle w:val="11"/>
        <w:numPr>
          <w:ilvl w:val="0"/>
          <w:numId w:val="0"/>
        </w:numPr>
        <w:topLinePunct w:val="0"/>
        <w:ind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auto"/>
          <w:kern w:val="2"/>
          <w:sz w:val="28"/>
          <w:szCs w:val="28"/>
          <w:highlight w:val="none"/>
          <w:lang w:val="en-US" w:eastAsia="zh-CN" w:bidi="ar-SA"/>
        </w:rPr>
        <w:t>其他经学院认定的劳育活动，每个活动加0.3分。</w:t>
      </w:r>
    </w:p>
    <w:p w14:paraId="240F3FC6">
      <w:pPr>
        <w:pStyle w:val="11"/>
        <w:numPr>
          <w:ilvl w:val="0"/>
          <w:numId w:val="0"/>
        </w:numPr>
        <w:topLinePunct w:val="0"/>
        <w:ind w:firstLine="560" w:firstLineChars="200"/>
        <w:rPr>
          <w:rFonts w:hint="eastAsia" w:ascii="仿宋" w:hAnsi="仿宋" w:eastAsia="仿宋" w:cs="仿宋"/>
          <w:color w:val="auto"/>
          <w:kern w:val="2"/>
          <w:sz w:val="28"/>
          <w:szCs w:val="28"/>
          <w:highlight w:val="none"/>
          <w:lang w:val="en-US" w:eastAsia="zh-CN" w:bidi="ar-SA"/>
        </w:rPr>
      </w:pPr>
    </w:p>
    <w:p w14:paraId="7C259CCC">
      <w:pPr>
        <w:pStyle w:val="11"/>
        <w:numPr>
          <w:ilvl w:val="0"/>
          <w:numId w:val="0"/>
        </w:numPr>
        <w:topLinePunct w:val="0"/>
        <w:ind w:firstLine="560" w:firstLineChars="200"/>
        <w:jc w:val="righ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水利与建筑工程学院</w:t>
      </w:r>
    </w:p>
    <w:p w14:paraId="3FD0B42B">
      <w:pPr>
        <w:pStyle w:val="11"/>
        <w:numPr>
          <w:ilvl w:val="0"/>
          <w:numId w:val="0"/>
        </w:numPr>
        <w:topLinePunct w:val="0"/>
        <w:ind w:firstLine="560" w:firstLineChars="200"/>
        <w:jc w:val="right"/>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2026年5月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E3B7B"/>
    <w:multiLevelType w:val="singleLevel"/>
    <w:tmpl w:val="917E3B7B"/>
    <w:lvl w:ilvl="0" w:tentative="0">
      <w:start w:val="1"/>
      <w:numFmt w:val="chineseCounting"/>
      <w:suff w:val="space"/>
      <w:lvlText w:val="第%1条"/>
      <w:lvlJc w:val="left"/>
      <w:pPr>
        <w:ind w:left="0" w:firstLine="482"/>
      </w:pPr>
      <w:rPr>
        <w:rFonts w:hint="eastAsia"/>
        <w:b/>
        <w:bCs/>
        <w:sz w:val="28"/>
        <w:szCs w:val="28"/>
      </w:rPr>
    </w:lvl>
  </w:abstractNum>
  <w:abstractNum w:abstractNumId="1">
    <w:nsid w:val="99E21FAC"/>
    <w:multiLevelType w:val="singleLevel"/>
    <w:tmpl w:val="99E21FAC"/>
    <w:lvl w:ilvl="0" w:tentative="0">
      <w:start w:val="1"/>
      <w:numFmt w:val="decimal"/>
      <w:suff w:val="space"/>
      <w:lvlText w:val="%1."/>
      <w:lvlJc w:val="left"/>
      <w:pPr>
        <w:ind w:left="0" w:firstLine="480"/>
      </w:pPr>
      <w:rPr>
        <w:rFonts w:hint="default"/>
      </w:rPr>
    </w:lvl>
  </w:abstractNum>
  <w:abstractNum w:abstractNumId="2">
    <w:nsid w:val="A4BEF164"/>
    <w:multiLevelType w:val="singleLevel"/>
    <w:tmpl w:val="A4BEF164"/>
    <w:lvl w:ilvl="0" w:tentative="0">
      <w:start w:val="1"/>
      <w:numFmt w:val="decimal"/>
      <w:suff w:val="nothing"/>
      <w:lvlText w:val="（%1）"/>
      <w:lvlJc w:val="left"/>
      <w:pPr>
        <w:ind w:left="0" w:firstLine="0"/>
      </w:pPr>
      <w:rPr>
        <w:rFonts w:hint="default"/>
      </w:rPr>
    </w:lvl>
  </w:abstractNum>
  <w:abstractNum w:abstractNumId="3">
    <w:nsid w:val="A5823010"/>
    <w:multiLevelType w:val="singleLevel"/>
    <w:tmpl w:val="A5823010"/>
    <w:lvl w:ilvl="0" w:tentative="0">
      <w:start w:val="1"/>
      <w:numFmt w:val="chineseCounting"/>
      <w:suff w:val="nothing"/>
      <w:lvlText w:val="（%1）"/>
      <w:lvlJc w:val="left"/>
      <w:pPr>
        <w:ind w:left="0" w:firstLine="480"/>
      </w:pPr>
      <w:rPr>
        <w:rFonts w:hint="eastAsia"/>
      </w:rPr>
    </w:lvl>
  </w:abstractNum>
  <w:abstractNum w:abstractNumId="4">
    <w:nsid w:val="BB7FC78F"/>
    <w:multiLevelType w:val="singleLevel"/>
    <w:tmpl w:val="BB7FC78F"/>
    <w:lvl w:ilvl="0" w:tentative="0">
      <w:start w:val="1"/>
      <w:numFmt w:val="chineseCounting"/>
      <w:suff w:val="nothing"/>
      <w:lvlText w:val="（%1）"/>
      <w:lvlJc w:val="left"/>
      <w:pPr>
        <w:ind w:left="0" w:firstLine="480"/>
      </w:pPr>
      <w:rPr>
        <w:rFonts w:hint="eastAsia"/>
        <w:sz w:val="28"/>
        <w:szCs w:val="28"/>
      </w:rPr>
    </w:lvl>
  </w:abstractNum>
  <w:abstractNum w:abstractNumId="5">
    <w:nsid w:val="C13ACE4E"/>
    <w:multiLevelType w:val="singleLevel"/>
    <w:tmpl w:val="C13ACE4E"/>
    <w:lvl w:ilvl="0" w:tentative="0">
      <w:start w:val="1"/>
      <w:numFmt w:val="decimal"/>
      <w:suff w:val="space"/>
      <w:lvlText w:val="1.%1"/>
      <w:lvlJc w:val="left"/>
      <w:pPr>
        <w:ind w:left="0" w:firstLine="480"/>
      </w:pPr>
      <w:rPr>
        <w:rFonts w:hint="default"/>
      </w:rPr>
    </w:lvl>
  </w:abstractNum>
  <w:abstractNum w:abstractNumId="6">
    <w:nsid w:val="D282D43F"/>
    <w:multiLevelType w:val="singleLevel"/>
    <w:tmpl w:val="D282D43F"/>
    <w:lvl w:ilvl="0" w:tentative="0">
      <w:start w:val="1"/>
      <w:numFmt w:val="chineseCounting"/>
      <w:suff w:val="nothing"/>
      <w:lvlText w:val="（%1）"/>
      <w:lvlJc w:val="left"/>
      <w:pPr>
        <w:ind w:left="0" w:firstLine="480"/>
      </w:pPr>
      <w:rPr>
        <w:rFonts w:hint="eastAsia"/>
      </w:rPr>
    </w:lvl>
  </w:abstractNum>
  <w:abstractNum w:abstractNumId="7">
    <w:nsid w:val="DB274644"/>
    <w:multiLevelType w:val="singleLevel"/>
    <w:tmpl w:val="DB274644"/>
    <w:lvl w:ilvl="0" w:tentative="0">
      <w:start w:val="1"/>
      <w:numFmt w:val="chineseCounting"/>
      <w:suff w:val="nothing"/>
      <w:lvlText w:val="（%1）"/>
      <w:lvlJc w:val="left"/>
      <w:pPr>
        <w:ind w:left="0" w:firstLine="480"/>
      </w:pPr>
      <w:rPr>
        <w:rFonts w:hint="eastAsia"/>
        <w:sz w:val="28"/>
        <w:szCs w:val="28"/>
      </w:rPr>
    </w:lvl>
  </w:abstractNum>
  <w:abstractNum w:abstractNumId="8">
    <w:nsid w:val="0B33BD7F"/>
    <w:multiLevelType w:val="singleLevel"/>
    <w:tmpl w:val="0B33BD7F"/>
    <w:lvl w:ilvl="0" w:tentative="0">
      <w:start w:val="1"/>
      <w:numFmt w:val="chineseCounting"/>
      <w:suff w:val="nothing"/>
      <w:lvlText w:val="（%1）"/>
      <w:lvlJc w:val="left"/>
      <w:pPr>
        <w:ind w:left="0" w:firstLine="0"/>
      </w:pPr>
      <w:rPr>
        <w:rFonts w:hint="eastAsia"/>
        <w:b/>
        <w:bCs/>
      </w:rPr>
    </w:lvl>
  </w:abstractNum>
  <w:abstractNum w:abstractNumId="9">
    <w:nsid w:val="1FD1A0A7"/>
    <w:multiLevelType w:val="singleLevel"/>
    <w:tmpl w:val="1FD1A0A7"/>
    <w:lvl w:ilvl="0" w:tentative="0">
      <w:start w:val="1"/>
      <w:numFmt w:val="decimal"/>
      <w:suff w:val="space"/>
      <w:lvlText w:val="%1."/>
      <w:lvlJc w:val="left"/>
      <w:pPr>
        <w:ind w:left="0" w:firstLine="480"/>
      </w:pPr>
      <w:rPr>
        <w:rFonts w:hint="default"/>
      </w:rPr>
    </w:lvl>
  </w:abstractNum>
  <w:abstractNum w:abstractNumId="10">
    <w:nsid w:val="23F45EF3"/>
    <w:multiLevelType w:val="singleLevel"/>
    <w:tmpl w:val="23F45EF3"/>
    <w:lvl w:ilvl="0" w:tentative="0">
      <w:start w:val="1"/>
      <w:numFmt w:val="decimal"/>
      <w:suff w:val="nothing"/>
      <w:lvlText w:val="（%1）"/>
      <w:lvlJc w:val="left"/>
      <w:pPr>
        <w:ind w:left="0" w:firstLine="480"/>
      </w:pPr>
      <w:rPr>
        <w:rFonts w:hint="default"/>
      </w:rPr>
    </w:lvl>
  </w:abstractNum>
  <w:abstractNum w:abstractNumId="11">
    <w:nsid w:val="27B24C8F"/>
    <w:multiLevelType w:val="singleLevel"/>
    <w:tmpl w:val="27B24C8F"/>
    <w:lvl w:ilvl="0" w:tentative="0">
      <w:start w:val="1"/>
      <w:numFmt w:val="chineseCounting"/>
      <w:suff w:val="nothing"/>
      <w:lvlText w:val="（%1）"/>
      <w:lvlJc w:val="left"/>
      <w:pPr>
        <w:ind w:left="0" w:firstLine="480"/>
      </w:pPr>
      <w:rPr>
        <w:rFonts w:hint="eastAsia"/>
        <w:sz w:val="28"/>
        <w:szCs w:val="28"/>
      </w:rPr>
    </w:lvl>
  </w:abstractNum>
  <w:abstractNum w:abstractNumId="12">
    <w:nsid w:val="2D8F751F"/>
    <w:multiLevelType w:val="singleLevel"/>
    <w:tmpl w:val="2D8F751F"/>
    <w:lvl w:ilvl="0" w:tentative="0">
      <w:start w:val="1"/>
      <w:numFmt w:val="decimal"/>
      <w:suff w:val="nothing"/>
      <w:lvlText w:val="（%1）"/>
      <w:lvlJc w:val="left"/>
      <w:pPr>
        <w:ind w:left="0" w:firstLine="480"/>
      </w:pPr>
      <w:rPr>
        <w:rFonts w:hint="default"/>
      </w:rPr>
    </w:lvl>
  </w:abstractNum>
  <w:abstractNum w:abstractNumId="13">
    <w:nsid w:val="31909304"/>
    <w:multiLevelType w:val="singleLevel"/>
    <w:tmpl w:val="31909304"/>
    <w:lvl w:ilvl="0" w:tentative="0">
      <w:start w:val="1"/>
      <w:numFmt w:val="chineseCounting"/>
      <w:suff w:val="nothing"/>
      <w:lvlText w:val="（%1）"/>
      <w:lvlJc w:val="left"/>
      <w:pPr>
        <w:ind w:left="0" w:firstLine="0"/>
      </w:pPr>
      <w:rPr>
        <w:rFonts w:hint="eastAsia"/>
      </w:rPr>
    </w:lvl>
  </w:abstractNum>
  <w:abstractNum w:abstractNumId="14">
    <w:nsid w:val="31D07DE8"/>
    <w:multiLevelType w:val="singleLevel"/>
    <w:tmpl w:val="31D07DE8"/>
    <w:lvl w:ilvl="0" w:tentative="0">
      <w:start w:val="1"/>
      <w:numFmt w:val="decimal"/>
      <w:suff w:val="nothing"/>
      <w:lvlText w:val="（%1）"/>
      <w:lvlJc w:val="left"/>
      <w:pPr>
        <w:ind w:left="0" w:firstLine="480"/>
      </w:pPr>
      <w:rPr>
        <w:rFonts w:hint="default"/>
      </w:rPr>
    </w:lvl>
  </w:abstractNum>
  <w:abstractNum w:abstractNumId="15">
    <w:nsid w:val="3C42D411"/>
    <w:multiLevelType w:val="singleLevel"/>
    <w:tmpl w:val="3C42D411"/>
    <w:lvl w:ilvl="0" w:tentative="0">
      <w:start w:val="1"/>
      <w:numFmt w:val="decimal"/>
      <w:suff w:val="space"/>
      <w:lvlText w:val="3.%1"/>
      <w:lvlJc w:val="left"/>
      <w:pPr>
        <w:ind w:left="0" w:firstLine="480"/>
      </w:pPr>
      <w:rPr>
        <w:rFonts w:hint="default"/>
      </w:rPr>
    </w:lvl>
  </w:abstractNum>
  <w:abstractNum w:abstractNumId="16">
    <w:nsid w:val="3F6E0008"/>
    <w:multiLevelType w:val="singleLevel"/>
    <w:tmpl w:val="3F6E0008"/>
    <w:lvl w:ilvl="0" w:tentative="0">
      <w:start w:val="1"/>
      <w:numFmt w:val="chineseCounting"/>
      <w:suff w:val="nothing"/>
      <w:lvlText w:val="（%1）"/>
      <w:lvlJc w:val="left"/>
      <w:pPr>
        <w:ind w:left="0" w:firstLine="0"/>
      </w:pPr>
      <w:rPr>
        <w:rFonts w:hint="eastAsia"/>
      </w:rPr>
    </w:lvl>
  </w:abstractNum>
  <w:abstractNum w:abstractNumId="17">
    <w:nsid w:val="427A7F6E"/>
    <w:multiLevelType w:val="singleLevel"/>
    <w:tmpl w:val="427A7F6E"/>
    <w:lvl w:ilvl="0" w:tentative="0">
      <w:start w:val="1"/>
      <w:numFmt w:val="decimal"/>
      <w:suff w:val="space"/>
      <w:lvlText w:val="%1."/>
      <w:lvlJc w:val="left"/>
      <w:pPr>
        <w:ind w:left="0" w:firstLine="480"/>
      </w:pPr>
      <w:rPr>
        <w:rFonts w:hint="default"/>
      </w:rPr>
    </w:lvl>
  </w:abstractNum>
  <w:abstractNum w:abstractNumId="18">
    <w:nsid w:val="44396124"/>
    <w:multiLevelType w:val="singleLevel"/>
    <w:tmpl w:val="44396124"/>
    <w:lvl w:ilvl="0" w:tentative="0">
      <w:start w:val="1"/>
      <w:numFmt w:val="chineseCounting"/>
      <w:suff w:val="space"/>
      <w:lvlText w:val="第%1章"/>
      <w:lvlJc w:val="left"/>
      <w:pPr>
        <w:ind w:left="0" w:firstLine="0"/>
      </w:pPr>
      <w:rPr>
        <w:rFonts w:hint="eastAsia"/>
      </w:rPr>
    </w:lvl>
  </w:abstractNum>
  <w:abstractNum w:abstractNumId="19">
    <w:nsid w:val="4ADC153A"/>
    <w:multiLevelType w:val="singleLevel"/>
    <w:tmpl w:val="4ADC153A"/>
    <w:lvl w:ilvl="0" w:tentative="0">
      <w:start w:val="1"/>
      <w:numFmt w:val="decimal"/>
      <w:suff w:val="space"/>
      <w:lvlText w:val="2.%1"/>
      <w:lvlJc w:val="left"/>
      <w:pPr>
        <w:ind w:left="0" w:firstLine="480"/>
      </w:pPr>
      <w:rPr>
        <w:rFonts w:hint="default"/>
      </w:rPr>
    </w:lvl>
  </w:abstractNum>
  <w:abstractNum w:abstractNumId="20">
    <w:nsid w:val="4CD0CCAE"/>
    <w:multiLevelType w:val="singleLevel"/>
    <w:tmpl w:val="4CD0CCAE"/>
    <w:lvl w:ilvl="0" w:tentative="0">
      <w:start w:val="1"/>
      <w:numFmt w:val="chineseCounting"/>
      <w:suff w:val="nothing"/>
      <w:lvlText w:val="（%1）"/>
      <w:lvlJc w:val="left"/>
      <w:pPr>
        <w:ind w:left="0" w:firstLine="480"/>
      </w:pPr>
      <w:rPr>
        <w:rFonts w:hint="eastAsia"/>
      </w:rPr>
    </w:lvl>
  </w:abstractNum>
  <w:abstractNum w:abstractNumId="21">
    <w:nsid w:val="4F721844"/>
    <w:multiLevelType w:val="singleLevel"/>
    <w:tmpl w:val="4F721844"/>
    <w:lvl w:ilvl="0" w:tentative="0">
      <w:start w:val="1"/>
      <w:numFmt w:val="decimal"/>
      <w:suff w:val="nothing"/>
      <w:lvlText w:val="（%1）"/>
      <w:lvlJc w:val="left"/>
      <w:pPr>
        <w:ind w:left="0" w:firstLine="480"/>
      </w:pPr>
      <w:rPr>
        <w:rFonts w:hint="default"/>
      </w:rPr>
    </w:lvl>
  </w:abstractNum>
  <w:abstractNum w:abstractNumId="22">
    <w:nsid w:val="6580CB43"/>
    <w:multiLevelType w:val="singleLevel"/>
    <w:tmpl w:val="6580CB43"/>
    <w:lvl w:ilvl="0" w:tentative="0">
      <w:start w:val="1"/>
      <w:numFmt w:val="decimal"/>
      <w:suff w:val="space"/>
      <w:lvlText w:val="%1."/>
      <w:lvlJc w:val="left"/>
      <w:pPr>
        <w:ind w:left="0" w:firstLine="480"/>
      </w:pPr>
      <w:rPr>
        <w:rFonts w:hint="default"/>
      </w:rPr>
    </w:lvl>
  </w:abstractNum>
  <w:abstractNum w:abstractNumId="23">
    <w:nsid w:val="6FA1A8DB"/>
    <w:multiLevelType w:val="singleLevel"/>
    <w:tmpl w:val="6FA1A8DB"/>
    <w:lvl w:ilvl="0" w:tentative="0">
      <w:start w:val="1"/>
      <w:numFmt w:val="decimalEnclosedCircleChinese"/>
      <w:suff w:val="space"/>
      <w:lvlText w:val="%1"/>
      <w:lvlJc w:val="left"/>
      <w:pPr>
        <w:ind w:left="0" w:firstLine="480"/>
      </w:pPr>
      <w:rPr>
        <w:rFonts w:hint="eastAsia"/>
      </w:rPr>
    </w:lvl>
  </w:abstractNum>
  <w:abstractNum w:abstractNumId="24">
    <w:nsid w:val="77B20FDF"/>
    <w:multiLevelType w:val="singleLevel"/>
    <w:tmpl w:val="77B20FDF"/>
    <w:lvl w:ilvl="0" w:tentative="0">
      <w:start w:val="1"/>
      <w:numFmt w:val="decimal"/>
      <w:suff w:val="nothing"/>
      <w:lvlText w:val="（%1）"/>
      <w:lvlJc w:val="left"/>
      <w:pPr>
        <w:ind w:left="0" w:firstLine="480"/>
      </w:pPr>
      <w:rPr>
        <w:rFonts w:hint="default"/>
      </w:rPr>
    </w:lvl>
  </w:abstractNum>
  <w:abstractNum w:abstractNumId="25">
    <w:nsid w:val="796A5CD3"/>
    <w:multiLevelType w:val="singleLevel"/>
    <w:tmpl w:val="796A5CD3"/>
    <w:lvl w:ilvl="0" w:tentative="0">
      <w:start w:val="1"/>
      <w:numFmt w:val="decimalEnclosedCircleChinese"/>
      <w:suff w:val="space"/>
      <w:lvlText w:val="%1"/>
      <w:lvlJc w:val="left"/>
      <w:pPr>
        <w:ind w:left="0" w:firstLine="480"/>
      </w:pPr>
      <w:rPr>
        <w:rFonts w:hint="eastAsia"/>
      </w:rPr>
    </w:lvl>
  </w:abstractNum>
  <w:num w:numId="1">
    <w:abstractNumId w:val="18"/>
  </w:num>
  <w:num w:numId="2">
    <w:abstractNumId w:val="0"/>
  </w:num>
  <w:num w:numId="3">
    <w:abstractNumId w:val="7"/>
  </w:num>
  <w:num w:numId="4">
    <w:abstractNumId w:val="11"/>
  </w:num>
  <w:num w:numId="5">
    <w:abstractNumId w:val="4"/>
  </w:num>
  <w:num w:numId="6">
    <w:abstractNumId w:val="22"/>
  </w:num>
  <w:num w:numId="7">
    <w:abstractNumId w:val="17"/>
  </w:num>
  <w:num w:numId="8">
    <w:abstractNumId w:val="1"/>
  </w:num>
  <w:num w:numId="9">
    <w:abstractNumId w:val="5"/>
  </w:num>
  <w:num w:numId="10">
    <w:abstractNumId w:val="19"/>
  </w:num>
  <w:num w:numId="11">
    <w:abstractNumId w:val="15"/>
  </w:num>
  <w:num w:numId="12">
    <w:abstractNumId w:val="16"/>
  </w:num>
  <w:num w:numId="13">
    <w:abstractNumId w:val="2"/>
  </w:num>
  <w:num w:numId="14">
    <w:abstractNumId w:val="9"/>
  </w:num>
  <w:num w:numId="15">
    <w:abstractNumId w:val="21"/>
  </w:num>
  <w:num w:numId="16">
    <w:abstractNumId w:val="13"/>
  </w:num>
  <w:num w:numId="17">
    <w:abstractNumId w:val="8"/>
  </w:num>
  <w:num w:numId="18">
    <w:abstractNumId w:val="24"/>
  </w:num>
  <w:num w:numId="19">
    <w:abstractNumId w:val="23"/>
  </w:num>
  <w:num w:numId="20">
    <w:abstractNumId w:val="25"/>
  </w:num>
  <w:num w:numId="21">
    <w:abstractNumId w:val="12"/>
  </w:num>
  <w:num w:numId="22">
    <w:abstractNumId w:val="10"/>
  </w:num>
  <w:num w:numId="23">
    <w:abstractNumId w:val="20"/>
  </w:num>
  <w:num w:numId="24">
    <w:abstractNumId w:val="3"/>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32113A"/>
    <w:rsid w:val="07F03CA9"/>
    <w:rsid w:val="0A6F40E4"/>
    <w:rsid w:val="11536CA5"/>
    <w:rsid w:val="1EAE0FF7"/>
    <w:rsid w:val="2C8D13D9"/>
    <w:rsid w:val="3FBC281F"/>
    <w:rsid w:val="433D2A14"/>
    <w:rsid w:val="49065B79"/>
    <w:rsid w:val="4F32113A"/>
    <w:rsid w:val="68A4310E"/>
    <w:rsid w:val="72B17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next w:val="1"/>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Body Text Indent"/>
    <w:basedOn w:val="1"/>
    <w:unhideWhenUsed/>
    <w:qFormat/>
    <w:uiPriority w:val="99"/>
    <w:pPr>
      <w:spacing w:after="120"/>
      <w:ind w:left="420" w:leftChars="200"/>
    </w:pPr>
  </w:style>
  <w:style w:type="paragraph" w:styleId="13">
    <w:name w:val="Plain Text"/>
    <w:basedOn w:val="1"/>
    <w:qFormat/>
    <w:uiPriority w:val="0"/>
    <w:rPr>
      <w:rFonts w:ascii="宋体" w:hAnsi="Courier New" w:eastAsia="宋体" w:cs="Courier New"/>
      <w:sz w:val="21"/>
      <w:szCs w:val="21"/>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7">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正文 A"/>
    <w:autoRedefine/>
    <w:qFormat/>
    <w:uiPriority w:val="0"/>
    <w:pPr>
      <w:widowControl w:val="0"/>
      <w:jc w:val="both"/>
    </w:pPr>
    <w:rPr>
      <w:rFonts w:ascii="Arial Unicode MS" w:hAnsi="Arial Unicode MS" w:eastAsia="Arial Unicode MS" w:cs="Times New Roman"/>
      <w:color w:val="000000"/>
      <w:szCs w:val="21"/>
      <w:u w:color="000000"/>
      <w:lang w:val="en-US" w:eastAsia="zh-CN" w:bidi="ar-SA"/>
    </w:rPr>
  </w:style>
  <w:style w:type="paragraph" w:customStyle="1" w:styleId="22">
    <w:name w:val="List Paragraph"/>
    <w:basedOn w:val="1"/>
    <w:autoRedefine/>
    <w:qFormat/>
    <w:uiPriority w:val="0"/>
    <w:pPr>
      <w:ind w:firstLine="200" w:firstLineChars="200"/>
    </w:pPr>
  </w:style>
  <w:style w:type="paragraph" w:customStyle="1" w:styleId="23">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14128</Words>
  <Characters>14852</Characters>
  <Lines>0</Lines>
  <Paragraphs>0</Paragraphs>
  <TotalTime>5</TotalTime>
  <ScaleCrop>false</ScaleCrop>
  <LinksUpToDate>false</LinksUpToDate>
  <CharactersWithSpaces>14860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2026-02-06T12:09:00Z</dcterms:created>
  <dc:creator>祁兆璨</dc:creator>
  <cp:lastModifiedBy>王延瑜</cp:lastModifiedBy>
  <dcterms:modified xsi:type="dcterms:W3CDTF">2026-09-09T06:42:07Z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661BCB5F78DD4183B498A2793637D3E7_13</vt:lpwstr>
  </property>
  <property fmtid="{D5CDD505-2E9C-101B-9397-08002B2CF9AE}" pid="4" name="KSOTemplateDocerSaveRecord">
    <vt:lpwstr>eyJoZGlkIjoiNmFlNmUzMTdiZWE1NTA4NWMzY2IwOWQ5MmViMzBiYWMiLCJ1c2VySWQiOiI0NTE3NDA4MTUifQ==</vt:lpwstr>
  </property>
</Properties>
</file>